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6C" w:rsidRDefault="00310D6C" w:rsidP="009E3612">
      <w:pPr>
        <w:rPr>
          <w:b/>
          <w:sz w:val="28"/>
          <w:szCs w:val="28"/>
        </w:rPr>
      </w:pPr>
      <w:bookmarkStart w:id="0" w:name="_GoBack"/>
      <w:bookmarkEnd w:id="0"/>
    </w:p>
    <w:p w:rsidR="009E3612" w:rsidRPr="00A937B6" w:rsidRDefault="009E3612" w:rsidP="009E3612">
      <w:pPr>
        <w:rPr>
          <w:b/>
          <w:sz w:val="28"/>
          <w:szCs w:val="28"/>
        </w:rPr>
      </w:pPr>
      <w:r w:rsidRPr="00A937B6">
        <w:rPr>
          <w:b/>
          <w:sz w:val="28"/>
          <w:szCs w:val="28"/>
        </w:rPr>
        <w:t xml:space="preserve">Grant Scheme </w:t>
      </w:r>
      <w:r w:rsidR="00310D6C" w:rsidRPr="00310D6C">
        <w:rPr>
          <w:b/>
          <w:sz w:val="28"/>
          <w:szCs w:val="28"/>
        </w:rPr>
        <w:t xml:space="preserve">to facilitate the participation of </w:t>
      </w:r>
      <w:r w:rsidR="00310D6C">
        <w:rPr>
          <w:b/>
          <w:sz w:val="28"/>
          <w:szCs w:val="28"/>
        </w:rPr>
        <w:t>CA/</w:t>
      </w:r>
      <w:r w:rsidR="00310D6C" w:rsidRPr="00310D6C">
        <w:rPr>
          <w:b/>
          <w:sz w:val="28"/>
          <w:szCs w:val="28"/>
        </w:rPr>
        <w:t>EaP countries in Brokerage Events</w:t>
      </w:r>
    </w:p>
    <w:p w:rsidR="009E3612" w:rsidRPr="002A02F5" w:rsidRDefault="009E3612" w:rsidP="009E3612"/>
    <w:p w:rsidR="009E3612" w:rsidRPr="00E64B2C" w:rsidRDefault="009E3612" w:rsidP="009E3612">
      <w:pPr>
        <w:rPr>
          <w:b/>
          <w:bCs/>
          <w:sz w:val="28"/>
          <w:szCs w:val="28"/>
        </w:rPr>
      </w:pPr>
      <w:bookmarkStart w:id="1" w:name="_Toc253744385"/>
      <w:bookmarkStart w:id="2" w:name="_Toc257625832"/>
      <w:r w:rsidRPr="00E64B2C">
        <w:rPr>
          <w:b/>
          <w:bCs/>
          <w:sz w:val="28"/>
          <w:szCs w:val="28"/>
        </w:rPr>
        <w:t>Guidelines</w:t>
      </w:r>
      <w:bookmarkEnd w:id="1"/>
      <w:bookmarkEnd w:id="2"/>
      <w:r w:rsidRPr="00E64B2C">
        <w:rPr>
          <w:b/>
          <w:bCs/>
          <w:sz w:val="28"/>
          <w:szCs w:val="28"/>
        </w:rPr>
        <w:t xml:space="preserve"> for Applicants</w:t>
      </w:r>
    </w:p>
    <w:p w:rsidR="009E3612" w:rsidRPr="00E64B2C" w:rsidRDefault="009E3612" w:rsidP="009E3612">
      <w:pPr>
        <w:spacing w:line="360" w:lineRule="auto"/>
      </w:pPr>
    </w:p>
    <w:p w:rsidR="009E3612" w:rsidRPr="00E64B2C" w:rsidRDefault="009E3612" w:rsidP="009E3612">
      <w:pPr>
        <w:spacing w:line="360" w:lineRule="auto"/>
      </w:pPr>
      <w:r w:rsidRPr="00E64B2C">
        <w:rPr>
          <w:b/>
          <w:u w:val="single"/>
        </w:rPr>
        <w:t>Eligibility criteria</w:t>
      </w:r>
    </w:p>
    <w:p w:rsidR="009E3612" w:rsidRPr="00E64B2C" w:rsidRDefault="009E3612" w:rsidP="009E3612">
      <w:pPr>
        <w:spacing w:line="360" w:lineRule="auto"/>
      </w:pPr>
      <w:r w:rsidRPr="00E64B2C">
        <w:t xml:space="preserve">These criteria </w:t>
      </w:r>
      <w:r w:rsidRPr="00E64B2C">
        <w:rPr>
          <w:b/>
        </w:rPr>
        <w:t>have to be met</w:t>
      </w:r>
      <w:r w:rsidRPr="00E64B2C">
        <w:t xml:space="preserve"> in order to be eligible for participation.</w:t>
      </w:r>
    </w:p>
    <w:p w:rsidR="009E3612" w:rsidRPr="00E64B2C" w:rsidRDefault="009E3612" w:rsidP="009E3612">
      <w:pPr>
        <w:numPr>
          <w:ilvl w:val="0"/>
          <w:numId w:val="2"/>
        </w:numPr>
        <w:tabs>
          <w:tab w:val="num" w:pos="720"/>
        </w:tabs>
        <w:spacing w:before="0" w:line="360" w:lineRule="auto"/>
      </w:pPr>
      <w:r w:rsidRPr="00E64B2C">
        <w:t xml:space="preserve">Be a member or an employee of a research institution/organization and/or of a network of organizations and/or of a higher education institution and/or of an SME-enterprise working on research. The aim is that the participation will have a multiplier effect in the country and/or region. </w:t>
      </w:r>
    </w:p>
    <w:p w:rsidR="009E3612" w:rsidRPr="00E64B2C" w:rsidRDefault="009E3612" w:rsidP="00310D6C">
      <w:pPr>
        <w:numPr>
          <w:ilvl w:val="0"/>
          <w:numId w:val="2"/>
        </w:numPr>
        <w:tabs>
          <w:tab w:val="num" w:pos="720"/>
        </w:tabs>
        <w:spacing w:before="0" w:line="360" w:lineRule="auto"/>
      </w:pPr>
      <w:r w:rsidRPr="00E64B2C">
        <w:t xml:space="preserve">Conduct research in one of the partner countries (AR, AZ, BY, GE, </w:t>
      </w:r>
      <w:r w:rsidR="00310D6C" w:rsidRPr="00310D6C">
        <w:t xml:space="preserve">KG, KZ, </w:t>
      </w:r>
      <w:r w:rsidRPr="00E64B2C">
        <w:t xml:space="preserve">MO, </w:t>
      </w:r>
      <w:r w:rsidR="00310D6C" w:rsidRPr="00310D6C">
        <w:t xml:space="preserve">TJ, TM, </w:t>
      </w:r>
      <w:r w:rsidRPr="00E64B2C">
        <w:t>UA</w:t>
      </w:r>
      <w:r w:rsidR="00310D6C">
        <w:t xml:space="preserve">, </w:t>
      </w:r>
      <w:r w:rsidR="00310D6C" w:rsidRPr="00310D6C">
        <w:t>UZ</w:t>
      </w:r>
      <w:r w:rsidRPr="00E64B2C">
        <w:t>)</w:t>
      </w:r>
    </w:p>
    <w:p w:rsidR="009E3612" w:rsidRPr="00E64B2C" w:rsidRDefault="009E3612" w:rsidP="009E3612">
      <w:pPr>
        <w:numPr>
          <w:ilvl w:val="0"/>
          <w:numId w:val="2"/>
        </w:numPr>
        <w:tabs>
          <w:tab w:val="num" w:pos="720"/>
        </w:tabs>
        <w:spacing w:before="0" w:line="360" w:lineRule="auto"/>
      </w:pPr>
      <w:r w:rsidRPr="00E64B2C">
        <w:t>Submit a completely filled in application form along with all the required documentation.</w:t>
      </w:r>
    </w:p>
    <w:p w:rsidR="009E3612" w:rsidRPr="00E64B2C" w:rsidRDefault="009E3612" w:rsidP="009E3612">
      <w:pPr>
        <w:numPr>
          <w:ilvl w:val="0"/>
          <w:numId w:val="2"/>
        </w:numPr>
        <w:tabs>
          <w:tab w:val="num" w:pos="720"/>
        </w:tabs>
        <w:spacing w:before="0" w:line="360" w:lineRule="auto"/>
      </w:pPr>
      <w:r w:rsidRPr="00E64B2C">
        <w:t>Have a PhD degree and/or at least three years’ full time experience in research.</w:t>
      </w:r>
    </w:p>
    <w:p w:rsidR="009E3612" w:rsidRPr="00E64B2C" w:rsidRDefault="009E3612" w:rsidP="009E3612">
      <w:pPr>
        <w:numPr>
          <w:ilvl w:val="0"/>
          <w:numId w:val="2"/>
        </w:numPr>
        <w:spacing w:before="0" w:line="360" w:lineRule="auto"/>
      </w:pPr>
      <w:r w:rsidRPr="00E64B2C">
        <w:t>Carry out research in one of Societal Challenges: Health, Energy or Climate Change.</w:t>
      </w:r>
    </w:p>
    <w:p w:rsidR="009E3612" w:rsidRPr="00E64B2C" w:rsidRDefault="009E3612" w:rsidP="009E3612">
      <w:pPr>
        <w:numPr>
          <w:ilvl w:val="0"/>
          <w:numId w:val="2"/>
        </w:numPr>
        <w:spacing w:before="0" w:line="360" w:lineRule="auto"/>
      </w:pPr>
      <w:r w:rsidRPr="00E64B2C">
        <w:t>Speaking fluent English.</w:t>
      </w:r>
    </w:p>
    <w:p w:rsidR="009E3612" w:rsidRDefault="009E3612" w:rsidP="009E3612">
      <w:pPr>
        <w:numPr>
          <w:ilvl w:val="0"/>
          <w:numId w:val="2"/>
        </w:numPr>
        <w:spacing w:before="0" w:line="360" w:lineRule="auto"/>
      </w:pPr>
      <w:r w:rsidRPr="00E64B2C">
        <w:t>Some international experience (already existing contacts in other countries, participation in previous international conferences and collaborations, etc.).</w:t>
      </w:r>
    </w:p>
    <w:p w:rsidR="00310D6C" w:rsidRPr="00E64B2C" w:rsidRDefault="00310D6C" w:rsidP="009E3612">
      <w:pPr>
        <w:numPr>
          <w:ilvl w:val="0"/>
          <w:numId w:val="2"/>
        </w:numPr>
        <w:spacing w:before="0" w:line="360" w:lineRule="auto"/>
      </w:pPr>
      <w:r>
        <w:t>Commitment to participate in Horizon2020 calls.</w:t>
      </w:r>
    </w:p>
    <w:p w:rsidR="009E3612" w:rsidRPr="00E64B2C" w:rsidRDefault="009E3612" w:rsidP="009E3612">
      <w:pPr>
        <w:spacing w:line="360" w:lineRule="auto"/>
      </w:pPr>
    </w:p>
    <w:p w:rsidR="009E3612" w:rsidRPr="00E64B2C" w:rsidRDefault="009E3612" w:rsidP="009E3612">
      <w:pPr>
        <w:spacing w:line="360" w:lineRule="auto"/>
        <w:rPr>
          <w:b/>
          <w:u w:val="single"/>
        </w:rPr>
      </w:pPr>
      <w:r w:rsidRPr="00E64B2C">
        <w:rPr>
          <w:b/>
          <w:u w:val="single"/>
        </w:rPr>
        <w:t>Evaluation criteria</w:t>
      </w:r>
    </w:p>
    <w:p w:rsidR="009E3612" w:rsidRPr="00E64B2C" w:rsidRDefault="009E3612" w:rsidP="009E3612">
      <w:pPr>
        <w:numPr>
          <w:ilvl w:val="0"/>
          <w:numId w:val="4"/>
        </w:numPr>
        <w:spacing w:before="0" w:line="360" w:lineRule="auto"/>
      </w:pPr>
      <w:r w:rsidRPr="00E64B2C">
        <w:t>Scientific excellence/Research performance (publications, patents, project, etc.) (40% of the score)</w:t>
      </w:r>
    </w:p>
    <w:p w:rsidR="009E3612" w:rsidRPr="00E64B2C" w:rsidRDefault="009E3612" w:rsidP="009E3612">
      <w:pPr>
        <w:numPr>
          <w:ilvl w:val="0"/>
          <w:numId w:val="4"/>
        </w:numPr>
        <w:spacing w:before="0" w:line="360" w:lineRule="auto"/>
      </w:pPr>
      <w:r w:rsidRPr="00E64B2C">
        <w:lastRenderedPageBreak/>
        <w:t>Previous international cooperation activities (projects and/or structured cooperation with other countries; trainings abroad; participation in international conferences, etc.) (20% of the score)</w:t>
      </w:r>
    </w:p>
    <w:p w:rsidR="009E3612" w:rsidRPr="00E64B2C" w:rsidRDefault="009E3612" w:rsidP="009E3612">
      <w:pPr>
        <w:numPr>
          <w:ilvl w:val="0"/>
          <w:numId w:val="4"/>
        </w:numPr>
        <w:spacing w:before="0" w:line="360" w:lineRule="auto"/>
      </w:pPr>
      <w:r w:rsidRPr="00E64B2C">
        <w:t>Commitment to take full advantage of the participation in the event: expected outcome, concrete plans for cooperation</w:t>
      </w:r>
      <w:r w:rsidR="00310D6C">
        <w:t>, participation in Horizon2020 calls</w:t>
      </w:r>
      <w:r w:rsidRPr="00E64B2C">
        <w:t xml:space="preserve"> should be described in more detail (40% of the score)</w:t>
      </w:r>
    </w:p>
    <w:p w:rsidR="009E3612" w:rsidRPr="00E64B2C" w:rsidRDefault="009E3612" w:rsidP="009E3612">
      <w:pPr>
        <w:spacing w:line="360" w:lineRule="auto"/>
        <w:rPr>
          <w:b/>
          <w:u w:val="single"/>
        </w:rPr>
      </w:pPr>
      <w:r w:rsidRPr="00E64B2C">
        <w:rPr>
          <w:b/>
          <w:u w:val="single"/>
        </w:rPr>
        <w:t xml:space="preserve">Additional evaluation criteria </w:t>
      </w:r>
    </w:p>
    <w:p w:rsidR="009E3612" w:rsidRPr="00E64B2C" w:rsidRDefault="009E3612" w:rsidP="009E3612">
      <w:pPr>
        <w:numPr>
          <w:ilvl w:val="0"/>
          <w:numId w:val="5"/>
        </w:numPr>
        <w:spacing w:before="0" w:line="360" w:lineRule="auto"/>
        <w:ind w:left="283"/>
      </w:pPr>
      <w:r w:rsidRPr="00E64B2C">
        <w:t>Gender: Encouragement of female researchers to participate</w:t>
      </w:r>
    </w:p>
    <w:p w:rsidR="009E3612" w:rsidRPr="00E64B2C" w:rsidRDefault="009E3612" w:rsidP="009E3612">
      <w:pPr>
        <w:numPr>
          <w:ilvl w:val="0"/>
          <w:numId w:val="5"/>
        </w:numPr>
        <w:spacing w:before="0" w:line="360" w:lineRule="auto"/>
        <w:ind w:left="283"/>
      </w:pPr>
      <w:r w:rsidRPr="00E64B2C">
        <w:t xml:space="preserve">Encouragement of young researchers </w:t>
      </w:r>
    </w:p>
    <w:p w:rsidR="009E3612" w:rsidRPr="00E64B2C" w:rsidRDefault="009E3612" w:rsidP="009E3612">
      <w:pPr>
        <w:numPr>
          <w:ilvl w:val="0"/>
          <w:numId w:val="5"/>
        </w:numPr>
        <w:spacing w:before="0" w:line="360" w:lineRule="auto"/>
        <w:ind w:left="283"/>
      </w:pPr>
      <w:r w:rsidRPr="00E64B2C">
        <w:t>Additional activities planned during the event (e.g. giving a presentation, taking part in a poster session, submitting a partner search profile, scheduling a bilateral meeting etc.)</w:t>
      </w:r>
    </w:p>
    <w:p w:rsidR="009E3612" w:rsidRPr="00E64B2C" w:rsidRDefault="009E3612" w:rsidP="009E3612">
      <w:pPr>
        <w:ind w:left="283"/>
      </w:pPr>
      <w:bookmarkStart w:id="3" w:name="_Toc253744386"/>
      <w:bookmarkStart w:id="4" w:name="_Toc257625833"/>
    </w:p>
    <w:bookmarkEnd w:id="3"/>
    <w:bookmarkEnd w:id="4"/>
    <w:p w:rsidR="00CA6943" w:rsidRDefault="00CA6943" w:rsidP="009E3612">
      <w:pPr>
        <w:rPr>
          <w:b/>
          <w:bCs/>
          <w:sz w:val="28"/>
          <w:szCs w:val="28"/>
        </w:rPr>
      </w:pPr>
      <w:r>
        <w:rPr>
          <w:b/>
          <w:bCs/>
          <w:sz w:val="28"/>
          <w:szCs w:val="28"/>
        </w:rPr>
        <w:t>Deadline for submission: 1</w:t>
      </w:r>
      <w:r w:rsidRPr="00CA6943">
        <w:rPr>
          <w:b/>
          <w:bCs/>
          <w:sz w:val="28"/>
          <w:szCs w:val="28"/>
          <w:vertAlign w:val="superscript"/>
        </w:rPr>
        <w:t>st</w:t>
      </w:r>
      <w:r>
        <w:rPr>
          <w:b/>
          <w:bCs/>
          <w:sz w:val="28"/>
          <w:szCs w:val="28"/>
        </w:rPr>
        <w:t xml:space="preserve"> of February 2016</w:t>
      </w:r>
    </w:p>
    <w:p w:rsidR="0042415D" w:rsidRDefault="0042415D" w:rsidP="009E3612">
      <w:pPr>
        <w:rPr>
          <w:b/>
          <w:bCs/>
          <w:sz w:val="28"/>
          <w:szCs w:val="28"/>
        </w:rPr>
      </w:pPr>
      <w:r>
        <w:rPr>
          <w:b/>
          <w:bCs/>
          <w:sz w:val="28"/>
          <w:szCs w:val="28"/>
        </w:rPr>
        <w:t>Latest date of the selected event: 31 May 2016</w:t>
      </w:r>
    </w:p>
    <w:p w:rsidR="00CA6943" w:rsidRDefault="00CA6943" w:rsidP="009E3612">
      <w:pPr>
        <w:rPr>
          <w:b/>
          <w:bCs/>
          <w:sz w:val="28"/>
          <w:szCs w:val="28"/>
        </w:rPr>
      </w:pPr>
    </w:p>
    <w:p w:rsidR="009E3612" w:rsidRPr="00E64B2C" w:rsidRDefault="009E3612" w:rsidP="009E3612">
      <w:pPr>
        <w:rPr>
          <w:b/>
          <w:bCs/>
          <w:sz w:val="28"/>
          <w:szCs w:val="28"/>
        </w:rPr>
      </w:pPr>
      <w:r w:rsidRPr="00E64B2C">
        <w:rPr>
          <w:b/>
          <w:bCs/>
          <w:sz w:val="28"/>
          <w:szCs w:val="28"/>
        </w:rPr>
        <w:t>Selection Process</w:t>
      </w:r>
    </w:p>
    <w:p w:rsidR="009E3612" w:rsidRPr="00E64B2C" w:rsidRDefault="009E3612" w:rsidP="009E3612">
      <w:pPr>
        <w:spacing w:line="360" w:lineRule="auto"/>
        <w:rPr>
          <w:b/>
          <w:u w:val="single"/>
        </w:rPr>
      </w:pPr>
    </w:p>
    <w:p w:rsidR="009E3612" w:rsidRPr="00E64B2C" w:rsidRDefault="009E3612" w:rsidP="009E3612">
      <w:pPr>
        <w:spacing w:line="360" w:lineRule="auto"/>
        <w:rPr>
          <w:b/>
          <w:u w:val="single"/>
        </w:rPr>
      </w:pPr>
      <w:r w:rsidRPr="00E64B2C">
        <w:rPr>
          <w:b/>
          <w:u w:val="single"/>
        </w:rPr>
        <w:t>Formality and eligibility check</w:t>
      </w:r>
    </w:p>
    <w:p w:rsidR="009E3612" w:rsidRPr="00E64B2C" w:rsidRDefault="009E3612" w:rsidP="009E3612">
      <w:pPr>
        <w:spacing w:line="360" w:lineRule="auto"/>
      </w:pPr>
      <w:r w:rsidRPr="00E64B2C">
        <w:t xml:space="preserve">The Local IncoNet </w:t>
      </w:r>
      <w:r w:rsidR="00310D6C">
        <w:t>CA/</w:t>
      </w:r>
      <w:r w:rsidRPr="00E64B2C">
        <w:t xml:space="preserve">EaP Partner will be responsible for the formality and eligibility check. Applications which do not comply with the eligibility criteria will not be considered within the evaluation process. </w:t>
      </w:r>
    </w:p>
    <w:p w:rsidR="009E3612" w:rsidRPr="00E64B2C" w:rsidRDefault="009E3612" w:rsidP="009E3612">
      <w:pPr>
        <w:spacing w:line="360" w:lineRule="auto"/>
      </w:pPr>
    </w:p>
    <w:p w:rsidR="009E3612" w:rsidRPr="00E64B2C" w:rsidRDefault="009E3612" w:rsidP="009E3612">
      <w:pPr>
        <w:spacing w:line="360" w:lineRule="auto"/>
        <w:rPr>
          <w:b/>
          <w:u w:val="single"/>
        </w:rPr>
      </w:pPr>
      <w:r w:rsidRPr="00E64B2C">
        <w:rPr>
          <w:b/>
          <w:u w:val="single"/>
        </w:rPr>
        <w:t xml:space="preserve">Evaluation </w:t>
      </w:r>
    </w:p>
    <w:p w:rsidR="00CA6943" w:rsidRDefault="009E3612" w:rsidP="009E3612">
      <w:pPr>
        <w:spacing w:line="360" w:lineRule="auto"/>
      </w:pPr>
      <w:r w:rsidRPr="00E64B2C">
        <w:t>The evaluation, based on a specified scoring matrix (see below) will be carried out by the Local Partners</w:t>
      </w:r>
      <w:r w:rsidR="00CA6943">
        <w:t xml:space="preserve">, </w:t>
      </w:r>
      <w:r w:rsidRPr="00E64B2C">
        <w:t>the Task Leader and the Coordinator.</w:t>
      </w:r>
    </w:p>
    <w:p w:rsidR="00CA6943" w:rsidRDefault="00CA6943">
      <w:pPr>
        <w:spacing w:before="0" w:after="200" w:line="276" w:lineRule="auto"/>
        <w:jc w:val="left"/>
      </w:pPr>
      <w:r>
        <w:br w:type="page"/>
      </w:r>
    </w:p>
    <w:p w:rsidR="009E3612" w:rsidRPr="002A02F5" w:rsidRDefault="009E3612" w:rsidP="009E3612">
      <w:pPr>
        <w:spacing w:line="360" w:lineRule="auto"/>
      </w:pPr>
    </w:p>
    <w:p w:rsidR="009E3612" w:rsidRPr="002A02F5" w:rsidRDefault="009E3612" w:rsidP="009E3612">
      <w:pPr>
        <w:spacing w:line="360" w:lineRule="auto"/>
        <w:rPr>
          <w:b/>
          <w:u w:val="single"/>
        </w:rPr>
      </w:pPr>
      <w:r w:rsidRPr="002A02F5">
        <w:rPr>
          <w:b/>
          <w:u w:val="single"/>
        </w:rPr>
        <w:t>Scoring Matrix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3"/>
        <w:gridCol w:w="2019"/>
      </w:tblGrid>
      <w:tr w:rsidR="009E3612" w:rsidRPr="00E64B2C" w:rsidTr="006A5FA6">
        <w:tc>
          <w:tcPr>
            <w:tcW w:w="3951" w:type="pct"/>
          </w:tcPr>
          <w:p w:rsidR="009E3612" w:rsidRPr="00E64B2C" w:rsidRDefault="009E3612" w:rsidP="006A5FA6">
            <w:pPr>
              <w:spacing w:line="360" w:lineRule="auto"/>
              <w:rPr>
                <w:b/>
              </w:rPr>
            </w:pPr>
            <w:r w:rsidRPr="00E64B2C">
              <w:rPr>
                <w:b/>
              </w:rPr>
              <w:t>Evaluation Criteria</w:t>
            </w:r>
          </w:p>
        </w:tc>
        <w:tc>
          <w:tcPr>
            <w:tcW w:w="1049" w:type="pct"/>
          </w:tcPr>
          <w:p w:rsidR="009E3612" w:rsidRPr="00E64B2C" w:rsidRDefault="009E3612" w:rsidP="006A5FA6">
            <w:pPr>
              <w:spacing w:line="360" w:lineRule="auto"/>
              <w:rPr>
                <w:b/>
              </w:rPr>
            </w:pPr>
            <w:r w:rsidRPr="00E64B2C">
              <w:rPr>
                <w:b/>
              </w:rPr>
              <w:t>Scoring</w:t>
            </w:r>
          </w:p>
        </w:tc>
      </w:tr>
      <w:tr w:rsidR="009E3612" w:rsidRPr="00E64B2C" w:rsidTr="006A5FA6">
        <w:tc>
          <w:tcPr>
            <w:tcW w:w="3951" w:type="pct"/>
          </w:tcPr>
          <w:p w:rsidR="009E3612" w:rsidRPr="00E64B2C" w:rsidRDefault="009E3612" w:rsidP="006A5FA6">
            <w:pPr>
              <w:spacing w:line="360" w:lineRule="auto"/>
            </w:pPr>
            <w:r w:rsidRPr="00E64B2C">
              <w:t>Have a postgraduate degree and/or at least three years’ full time experience in research</w:t>
            </w:r>
          </w:p>
        </w:tc>
        <w:tc>
          <w:tcPr>
            <w:tcW w:w="1049" w:type="pct"/>
          </w:tcPr>
          <w:p w:rsidR="009E3612" w:rsidRPr="00E64B2C" w:rsidRDefault="009E3612" w:rsidP="006A5FA6">
            <w:pPr>
              <w:spacing w:line="360" w:lineRule="auto"/>
            </w:pPr>
            <w:r w:rsidRPr="00E64B2C">
              <w:t>Yes or No</w:t>
            </w:r>
          </w:p>
        </w:tc>
      </w:tr>
      <w:tr w:rsidR="009E3612" w:rsidRPr="00E64B2C" w:rsidTr="006A5FA6">
        <w:tc>
          <w:tcPr>
            <w:tcW w:w="3951" w:type="pct"/>
          </w:tcPr>
          <w:p w:rsidR="009E3612" w:rsidRPr="00E64B2C" w:rsidRDefault="009E3612" w:rsidP="006A5FA6">
            <w:pPr>
              <w:spacing w:line="360" w:lineRule="auto"/>
            </w:pPr>
            <w:r w:rsidRPr="00E64B2C">
              <w:t>Be a member or an employee of a research institution and or of a higher education institution or of a research department of an SME-enterprise in one of the partner countries</w:t>
            </w:r>
          </w:p>
        </w:tc>
        <w:tc>
          <w:tcPr>
            <w:tcW w:w="1049" w:type="pct"/>
          </w:tcPr>
          <w:p w:rsidR="009E3612" w:rsidRPr="00E64B2C" w:rsidRDefault="009E3612" w:rsidP="006A5FA6">
            <w:pPr>
              <w:spacing w:line="360" w:lineRule="auto"/>
            </w:pPr>
            <w:r w:rsidRPr="00E64B2C">
              <w:t>Yes or No</w:t>
            </w:r>
          </w:p>
        </w:tc>
      </w:tr>
      <w:tr w:rsidR="009E3612" w:rsidRPr="00E64B2C" w:rsidTr="006A5FA6">
        <w:tc>
          <w:tcPr>
            <w:tcW w:w="3951" w:type="pct"/>
          </w:tcPr>
          <w:p w:rsidR="009E3612" w:rsidRPr="00E64B2C" w:rsidRDefault="009E3612" w:rsidP="006A5FA6">
            <w:pPr>
              <w:spacing w:line="360" w:lineRule="auto"/>
            </w:pPr>
            <w:r w:rsidRPr="00E64B2C">
              <w:t>Sufficient knowledge of English (language exam, or self-estimation)</w:t>
            </w:r>
          </w:p>
        </w:tc>
        <w:tc>
          <w:tcPr>
            <w:tcW w:w="1049" w:type="pct"/>
          </w:tcPr>
          <w:p w:rsidR="009E3612" w:rsidRPr="00E64B2C" w:rsidRDefault="009E3612" w:rsidP="006A5FA6">
            <w:pPr>
              <w:spacing w:line="360" w:lineRule="auto"/>
            </w:pPr>
            <w:r w:rsidRPr="00E64B2C">
              <w:t>Yes or No</w:t>
            </w:r>
          </w:p>
        </w:tc>
      </w:tr>
      <w:tr w:rsidR="009E3612" w:rsidRPr="00E64B2C" w:rsidTr="006A5FA6">
        <w:tc>
          <w:tcPr>
            <w:tcW w:w="3951" w:type="pct"/>
            <w:tcBorders>
              <w:bottom w:val="double" w:sz="4" w:space="0" w:color="auto"/>
            </w:tcBorders>
          </w:tcPr>
          <w:p w:rsidR="009E3612" w:rsidRPr="00E64B2C" w:rsidRDefault="009E3612" w:rsidP="006A5FA6">
            <w:pPr>
              <w:spacing w:line="360" w:lineRule="auto"/>
            </w:pPr>
            <w:r w:rsidRPr="00E64B2C">
              <w:t>Thematic Area of research (Health, Energy, Climate Change)</w:t>
            </w:r>
          </w:p>
        </w:tc>
        <w:tc>
          <w:tcPr>
            <w:tcW w:w="1049" w:type="pct"/>
            <w:tcBorders>
              <w:bottom w:val="double" w:sz="4" w:space="0" w:color="auto"/>
            </w:tcBorders>
          </w:tcPr>
          <w:p w:rsidR="009E3612" w:rsidRPr="00E64B2C" w:rsidRDefault="009E3612" w:rsidP="006A5FA6">
            <w:pPr>
              <w:spacing w:line="360" w:lineRule="auto"/>
            </w:pPr>
            <w:r w:rsidRPr="00E64B2C">
              <w:t>Yes or No</w:t>
            </w:r>
          </w:p>
        </w:tc>
      </w:tr>
      <w:tr w:rsidR="009E3612" w:rsidRPr="00E64B2C" w:rsidTr="006A5FA6">
        <w:tc>
          <w:tcPr>
            <w:tcW w:w="3951" w:type="pct"/>
            <w:tcBorders>
              <w:top w:val="double" w:sz="4" w:space="0" w:color="auto"/>
            </w:tcBorders>
          </w:tcPr>
          <w:p w:rsidR="009E3612" w:rsidRPr="00E64B2C" w:rsidRDefault="009E3612" w:rsidP="006A5FA6">
            <w:pPr>
              <w:spacing w:line="360" w:lineRule="auto"/>
            </w:pPr>
            <w:r w:rsidRPr="00E64B2C">
              <w:t>Research performance/scientific excellence:</w:t>
            </w:r>
          </w:p>
          <w:p w:rsidR="009E3612" w:rsidRPr="00E64B2C" w:rsidRDefault="009E3612" w:rsidP="009E3612">
            <w:pPr>
              <w:numPr>
                <w:ilvl w:val="2"/>
                <w:numId w:val="2"/>
              </w:numPr>
              <w:spacing w:before="0" w:line="360" w:lineRule="auto"/>
              <w:ind w:left="814"/>
            </w:pPr>
            <w:r w:rsidRPr="00E64B2C">
              <w:t>5 most important publications, relevant to the event</w:t>
            </w:r>
          </w:p>
          <w:p w:rsidR="009E3612" w:rsidRPr="00E64B2C" w:rsidRDefault="009E3612" w:rsidP="009E3612">
            <w:pPr>
              <w:numPr>
                <w:ilvl w:val="2"/>
                <w:numId w:val="2"/>
              </w:numPr>
              <w:spacing w:before="0" w:line="360" w:lineRule="auto"/>
              <w:ind w:left="814"/>
            </w:pPr>
            <w:r w:rsidRPr="00E64B2C">
              <w:t>total number of publications</w:t>
            </w:r>
          </w:p>
          <w:p w:rsidR="009E3612" w:rsidRPr="00E64B2C" w:rsidRDefault="009E3612" w:rsidP="009E3612">
            <w:pPr>
              <w:numPr>
                <w:ilvl w:val="2"/>
                <w:numId w:val="2"/>
              </w:numPr>
              <w:spacing w:before="0" w:line="360" w:lineRule="auto"/>
              <w:ind w:left="814"/>
            </w:pPr>
            <w:r w:rsidRPr="00E64B2C">
              <w:t>total number of citations</w:t>
            </w:r>
          </w:p>
          <w:p w:rsidR="009E3612" w:rsidRPr="00E64B2C" w:rsidRDefault="009E3612" w:rsidP="009E3612">
            <w:pPr>
              <w:numPr>
                <w:ilvl w:val="2"/>
                <w:numId w:val="2"/>
              </w:numPr>
              <w:spacing w:before="0" w:line="360" w:lineRule="auto"/>
              <w:ind w:left="814"/>
            </w:pPr>
            <w:r w:rsidRPr="00E64B2C">
              <w:t>patents, if any</w:t>
            </w:r>
          </w:p>
          <w:p w:rsidR="009E3612" w:rsidRPr="00E64B2C" w:rsidRDefault="009E3612" w:rsidP="009E3612">
            <w:pPr>
              <w:numPr>
                <w:ilvl w:val="2"/>
                <w:numId w:val="2"/>
              </w:numPr>
              <w:spacing w:before="0" w:line="360" w:lineRule="auto"/>
              <w:ind w:left="814"/>
            </w:pPr>
            <w:r w:rsidRPr="00E64B2C">
              <w:t>participation in projects related to the topic of the Brokerage Event</w:t>
            </w:r>
          </w:p>
        </w:tc>
        <w:tc>
          <w:tcPr>
            <w:tcW w:w="1049" w:type="pct"/>
            <w:tcBorders>
              <w:top w:val="double" w:sz="4" w:space="0" w:color="auto"/>
            </w:tcBorders>
          </w:tcPr>
          <w:p w:rsidR="009E3612" w:rsidRPr="00E64B2C" w:rsidRDefault="009E3612" w:rsidP="006A5FA6">
            <w:pPr>
              <w:spacing w:line="360" w:lineRule="auto"/>
            </w:pPr>
            <w:r w:rsidRPr="00E64B2C">
              <w:t>max: 10 points</w:t>
            </w:r>
          </w:p>
          <w:p w:rsidR="009E3612" w:rsidRPr="00E64B2C" w:rsidRDefault="009E3612" w:rsidP="006A5FA6">
            <w:pPr>
              <w:spacing w:line="360" w:lineRule="auto"/>
            </w:pPr>
            <w:r w:rsidRPr="00E64B2C">
              <w:t>min: 7 points</w:t>
            </w:r>
          </w:p>
        </w:tc>
      </w:tr>
      <w:tr w:rsidR="009E3612" w:rsidRPr="00E64B2C" w:rsidTr="006A5FA6">
        <w:tc>
          <w:tcPr>
            <w:tcW w:w="3951" w:type="pct"/>
          </w:tcPr>
          <w:p w:rsidR="009E3612" w:rsidRPr="00E64B2C" w:rsidRDefault="009E3612" w:rsidP="006A5FA6">
            <w:pPr>
              <w:spacing w:line="360" w:lineRule="auto"/>
            </w:pPr>
            <w:r w:rsidRPr="00E64B2C">
              <w:t>International cooperation activities:</w:t>
            </w:r>
          </w:p>
          <w:p w:rsidR="009E3612" w:rsidRPr="00E64B2C" w:rsidRDefault="009E3612" w:rsidP="009E3612">
            <w:pPr>
              <w:numPr>
                <w:ilvl w:val="2"/>
                <w:numId w:val="2"/>
              </w:numPr>
              <w:spacing w:before="0" w:line="360" w:lineRule="auto"/>
              <w:ind w:left="814"/>
            </w:pPr>
            <w:r w:rsidRPr="00E64B2C">
              <w:t xml:space="preserve">projects and/or structured cooperation with other countries; </w:t>
            </w:r>
          </w:p>
          <w:p w:rsidR="009E3612" w:rsidRPr="00E64B2C" w:rsidRDefault="009E3612" w:rsidP="009E3612">
            <w:pPr>
              <w:numPr>
                <w:ilvl w:val="2"/>
                <w:numId w:val="2"/>
              </w:numPr>
              <w:spacing w:before="0" w:line="360" w:lineRule="auto"/>
              <w:ind w:left="814"/>
            </w:pPr>
            <w:r w:rsidRPr="00E64B2C">
              <w:t xml:space="preserve">trainings abroad; </w:t>
            </w:r>
          </w:p>
          <w:p w:rsidR="009E3612" w:rsidRPr="00E64B2C" w:rsidRDefault="009E3612" w:rsidP="009E3612">
            <w:pPr>
              <w:numPr>
                <w:ilvl w:val="2"/>
                <w:numId w:val="2"/>
              </w:numPr>
              <w:spacing w:before="0" w:line="360" w:lineRule="auto"/>
              <w:ind w:left="814"/>
            </w:pPr>
            <w:r w:rsidRPr="00E64B2C">
              <w:t>participation in international conferences</w:t>
            </w:r>
          </w:p>
        </w:tc>
        <w:tc>
          <w:tcPr>
            <w:tcW w:w="1049" w:type="pct"/>
          </w:tcPr>
          <w:p w:rsidR="009E3612" w:rsidRPr="00E64B2C" w:rsidRDefault="009E3612" w:rsidP="006A5FA6">
            <w:pPr>
              <w:spacing w:line="360" w:lineRule="auto"/>
            </w:pPr>
            <w:r w:rsidRPr="00E64B2C">
              <w:t>max: 5 points</w:t>
            </w:r>
          </w:p>
          <w:p w:rsidR="009E3612" w:rsidRPr="00E64B2C" w:rsidRDefault="009E3612" w:rsidP="006A5FA6">
            <w:pPr>
              <w:spacing w:line="360" w:lineRule="auto"/>
            </w:pPr>
            <w:r w:rsidRPr="00E64B2C">
              <w:t>min: 3 points</w:t>
            </w:r>
          </w:p>
        </w:tc>
      </w:tr>
      <w:tr w:rsidR="009E3612" w:rsidRPr="00E64B2C" w:rsidTr="006A5FA6">
        <w:tc>
          <w:tcPr>
            <w:tcW w:w="3951" w:type="pct"/>
          </w:tcPr>
          <w:p w:rsidR="009E3612" w:rsidRPr="00E64B2C" w:rsidRDefault="009E3612" w:rsidP="006A5FA6">
            <w:pPr>
              <w:spacing w:line="360" w:lineRule="auto"/>
            </w:pPr>
            <w:r w:rsidRPr="00E64B2C">
              <w:t>Commitment to take full advantage of the participation in the event:</w:t>
            </w:r>
          </w:p>
          <w:p w:rsidR="009E3612" w:rsidRPr="00E64B2C" w:rsidRDefault="009E3612" w:rsidP="009E3612">
            <w:pPr>
              <w:numPr>
                <w:ilvl w:val="2"/>
                <w:numId w:val="2"/>
              </w:numPr>
              <w:spacing w:before="0" w:line="360" w:lineRule="auto"/>
              <w:ind w:left="814"/>
            </w:pPr>
            <w:r w:rsidRPr="00E64B2C">
              <w:t xml:space="preserve">expected outcome, </w:t>
            </w:r>
            <w:r w:rsidRPr="00CA6943">
              <w:rPr>
                <w:b/>
              </w:rPr>
              <w:t>concrete</w:t>
            </w:r>
            <w:r w:rsidRPr="00E64B2C">
              <w:t xml:space="preserve"> plans for cooperation (become a member of a </w:t>
            </w:r>
            <w:r w:rsidR="00CA6943">
              <w:t xml:space="preserve">Horizon 2020 </w:t>
            </w:r>
            <w:r w:rsidRPr="00E64B2C">
              <w:t>consortium, deepen already existing international contacts etc.)</w:t>
            </w:r>
          </w:p>
          <w:p w:rsidR="009E3612" w:rsidRPr="00E64B2C" w:rsidRDefault="009E3612" w:rsidP="009E3612">
            <w:pPr>
              <w:numPr>
                <w:ilvl w:val="2"/>
                <w:numId w:val="2"/>
              </w:numPr>
              <w:spacing w:before="0" w:line="360" w:lineRule="auto"/>
              <w:ind w:left="814"/>
            </w:pPr>
            <w:r w:rsidRPr="00E64B2C">
              <w:t>other activities planned (poster, presentation etc.)</w:t>
            </w:r>
          </w:p>
        </w:tc>
        <w:tc>
          <w:tcPr>
            <w:tcW w:w="1049" w:type="pct"/>
          </w:tcPr>
          <w:p w:rsidR="009E3612" w:rsidRPr="00E64B2C" w:rsidRDefault="009E3612" w:rsidP="006A5FA6">
            <w:pPr>
              <w:spacing w:line="360" w:lineRule="auto"/>
            </w:pPr>
            <w:r w:rsidRPr="00E64B2C">
              <w:t>max: 10 points</w:t>
            </w:r>
          </w:p>
          <w:p w:rsidR="009E3612" w:rsidRPr="00E64B2C" w:rsidRDefault="009E3612" w:rsidP="006A5FA6">
            <w:pPr>
              <w:spacing w:line="360" w:lineRule="auto"/>
            </w:pPr>
            <w:r w:rsidRPr="00E64B2C">
              <w:t>min: 7 points</w:t>
            </w:r>
          </w:p>
        </w:tc>
      </w:tr>
    </w:tbl>
    <w:p w:rsidR="009E3612" w:rsidRPr="00E64B2C" w:rsidRDefault="009E3612" w:rsidP="009E3612">
      <w:pPr>
        <w:spacing w:line="360" w:lineRule="auto"/>
        <w:rPr>
          <w:b/>
          <w:u w:val="single"/>
        </w:rPr>
      </w:pPr>
    </w:p>
    <w:p w:rsidR="009E3612" w:rsidRPr="00E64B2C" w:rsidRDefault="009E3612" w:rsidP="009E3612">
      <w:pPr>
        <w:rPr>
          <w:b/>
          <w:bCs/>
          <w:u w:val="single"/>
        </w:rPr>
      </w:pPr>
      <w:bookmarkStart w:id="5" w:name="_Toc253744387"/>
      <w:bookmarkStart w:id="6" w:name="_Toc257625834"/>
      <w:r w:rsidRPr="00E64B2C">
        <w:rPr>
          <w:b/>
          <w:bCs/>
          <w:u w:val="single"/>
        </w:rPr>
        <w:lastRenderedPageBreak/>
        <w:t xml:space="preserve">Funding </w:t>
      </w:r>
      <w:bookmarkEnd w:id="5"/>
      <w:bookmarkEnd w:id="6"/>
      <w:r w:rsidRPr="00E64B2C">
        <w:rPr>
          <w:b/>
          <w:bCs/>
          <w:u w:val="single"/>
        </w:rPr>
        <w:t>Requirements</w:t>
      </w:r>
    </w:p>
    <w:p w:rsidR="009E3612" w:rsidRPr="00E64B2C" w:rsidRDefault="009E3612" w:rsidP="009E3612"/>
    <w:p w:rsidR="00F006F5" w:rsidRDefault="009E3612" w:rsidP="009E3612">
      <w:pPr>
        <w:spacing w:line="360" w:lineRule="auto"/>
      </w:pPr>
      <w:r w:rsidRPr="00E64B2C">
        <w:t xml:space="preserve">The Grants will be paid by the Local Partner as a reimbursement for travel costs (travel, accommodation, event participation fee, visa costs and per diem or actual expenses in accordance to Local Partner rules). The Grant cannot exceed 3000 euro.  If the cost of participation exceeds this amount, the additional cost must be borne by the Grant recipient. An advance payment up to 75% of the budget may be paid to the Grant recipients (covering travel, accommodation and visa) while the remaining costs (per diem, actual expenses during stay, according to the Local Partner rules) will be reimbursed upon the return of the researcher and the handing of the participation evidence and related documents (Event Participation Report) to the Local partner. </w:t>
      </w:r>
    </w:p>
    <w:p w:rsidR="00F006F5" w:rsidRDefault="00F006F5">
      <w:pPr>
        <w:spacing w:before="0" w:after="200" w:line="276" w:lineRule="auto"/>
        <w:jc w:val="left"/>
      </w:pPr>
      <w:r>
        <w:br w:type="page"/>
      </w:r>
    </w:p>
    <w:p w:rsidR="009E3612" w:rsidRPr="00F006F5" w:rsidRDefault="00F006F5" w:rsidP="00F006F5">
      <w:pPr>
        <w:rPr>
          <w:b/>
          <w:bCs/>
          <w:u w:val="single"/>
        </w:rPr>
      </w:pPr>
      <w:r w:rsidRPr="00F006F5">
        <w:rPr>
          <w:b/>
          <w:bCs/>
          <w:u w:val="single"/>
        </w:rPr>
        <w:lastRenderedPageBreak/>
        <w:t xml:space="preserve">Recommended Events </w:t>
      </w:r>
    </w:p>
    <w:p w:rsidR="00F006F5" w:rsidRDefault="00F006F5" w:rsidP="009E3612">
      <w:pPr>
        <w:spacing w:line="360" w:lineRule="auto"/>
      </w:pPr>
    </w:p>
    <w:p w:rsidR="004E3DC8" w:rsidRDefault="0042415D" w:rsidP="009E3612">
      <w:pPr>
        <w:spacing w:line="360" w:lineRule="auto"/>
      </w:pPr>
      <w:r>
        <w:t xml:space="preserve">In case of two recommended Events RCISD provides the selected participants with a one-day training back-to-back with the Brokerage Event. Nomination of at least one scientist from each CA/EaP country for these events is highly recommended. Eligibility, evaluation criteria, selection and evaluation procedure are the same like in the general scheme above. Costs of the participating scientists are covered from the budget of the Local Partners dedicated for the </w:t>
      </w:r>
      <w:r w:rsidRPr="0042415D">
        <w:t>Grant Scheme to facilitate the participation of CA/EaP countries in Brokerage Events</w:t>
      </w:r>
      <w:r>
        <w:t>.</w:t>
      </w:r>
      <w:r w:rsidR="004E3DC8">
        <w:t xml:space="preserve"> </w:t>
      </w:r>
    </w:p>
    <w:p w:rsidR="0042415D" w:rsidRPr="001E5B99" w:rsidRDefault="0042415D" w:rsidP="00321B5D">
      <w:pPr>
        <w:spacing w:before="240" w:line="360" w:lineRule="auto"/>
        <w:rPr>
          <w:b/>
        </w:rPr>
      </w:pPr>
      <w:r w:rsidRPr="001E5B99">
        <w:rPr>
          <w:b/>
        </w:rPr>
        <w:t>Event</w:t>
      </w:r>
      <w:r w:rsidR="008356E1">
        <w:rPr>
          <w:b/>
        </w:rPr>
        <w:t xml:space="preserve"> 1</w:t>
      </w:r>
      <w:r w:rsidRPr="001E5B99">
        <w:rPr>
          <w:b/>
        </w:rPr>
        <w:t>: AquaMatch 2015</w:t>
      </w:r>
    </w:p>
    <w:p w:rsidR="0042415D" w:rsidRDefault="0042415D" w:rsidP="0042415D">
      <w:pPr>
        <w:spacing w:line="360" w:lineRule="auto"/>
      </w:pPr>
      <w:r w:rsidRPr="001E5B99">
        <w:rPr>
          <w:b/>
        </w:rPr>
        <w:t>Date</w:t>
      </w:r>
      <w:r>
        <w:t>: 5 November</w:t>
      </w:r>
      <w:r w:rsidR="001E5B99">
        <w:t xml:space="preserve"> 2015</w:t>
      </w:r>
    </w:p>
    <w:p w:rsidR="0042415D" w:rsidRDefault="0042415D" w:rsidP="001E5B99">
      <w:pPr>
        <w:spacing w:line="360" w:lineRule="auto"/>
      </w:pPr>
      <w:r w:rsidRPr="001E5B99">
        <w:rPr>
          <w:b/>
        </w:rPr>
        <w:t>Venue</w:t>
      </w:r>
      <w:r>
        <w:t>:</w:t>
      </w:r>
      <w:r w:rsidR="001E5B99">
        <w:t xml:space="preserve"> RAI Amsterdam, Europaplein, 1078 GZ Amsterdam, the Netherlands</w:t>
      </w:r>
      <w:r>
        <w:t xml:space="preserve"> </w:t>
      </w:r>
    </w:p>
    <w:p w:rsidR="0042415D" w:rsidRDefault="0042415D" w:rsidP="0042415D">
      <w:pPr>
        <w:spacing w:line="360" w:lineRule="auto"/>
      </w:pPr>
      <w:r w:rsidRPr="001E5B99">
        <w:rPr>
          <w:b/>
        </w:rPr>
        <w:t>Registration deadline</w:t>
      </w:r>
      <w:r>
        <w:t>: 11 October</w:t>
      </w:r>
      <w:r w:rsidR="001E5B99">
        <w:t xml:space="preserve"> 2015</w:t>
      </w:r>
    </w:p>
    <w:p w:rsidR="0042415D" w:rsidRDefault="0042415D" w:rsidP="0042415D">
      <w:pPr>
        <w:spacing w:line="360" w:lineRule="auto"/>
      </w:pPr>
      <w:r w:rsidRPr="001E5B99">
        <w:rPr>
          <w:b/>
        </w:rPr>
        <w:t>Deadline</w:t>
      </w:r>
      <w:r w:rsidR="001E5B99" w:rsidRPr="001E5B99">
        <w:rPr>
          <w:b/>
        </w:rPr>
        <w:t xml:space="preserve"> for applications</w:t>
      </w:r>
      <w:r>
        <w:t xml:space="preserve">: </w:t>
      </w:r>
      <w:r w:rsidR="001E5B99">
        <w:t>5 October 2015</w:t>
      </w:r>
    </w:p>
    <w:p w:rsidR="001E5B99" w:rsidRDefault="001E5B99" w:rsidP="0042415D">
      <w:pPr>
        <w:spacing w:line="360" w:lineRule="auto"/>
      </w:pPr>
      <w:r w:rsidRPr="001E5B99">
        <w:rPr>
          <w:b/>
        </w:rPr>
        <w:t>Training</w:t>
      </w:r>
      <w:r>
        <w:t>: 4 November 2015</w:t>
      </w:r>
      <w:r w:rsidR="004E3DC8">
        <w:t>, provided by RCISD</w:t>
      </w:r>
    </w:p>
    <w:p w:rsidR="00321B5D" w:rsidRDefault="008356E1" w:rsidP="0042415D">
      <w:pPr>
        <w:spacing w:line="360" w:lineRule="auto"/>
      </w:pPr>
      <w:r w:rsidRPr="008356E1">
        <w:rPr>
          <w:b/>
        </w:rPr>
        <w:t>Registration fee</w:t>
      </w:r>
      <w:r>
        <w:t>: free of charge</w:t>
      </w:r>
      <w:r w:rsidR="00321B5D">
        <w:tab/>
      </w:r>
    </w:p>
    <w:p w:rsidR="008356E1" w:rsidRDefault="00321B5D" w:rsidP="0042415D">
      <w:pPr>
        <w:spacing w:line="360" w:lineRule="auto"/>
      </w:pPr>
      <w:r w:rsidRPr="00321B5D">
        <w:rPr>
          <w:b/>
        </w:rPr>
        <w:t>Number of days covered by the project</w:t>
      </w:r>
      <w:r>
        <w:t>: 3-6 November, 3 nights</w:t>
      </w:r>
    </w:p>
    <w:p w:rsidR="001E5B99" w:rsidRDefault="001E5B99" w:rsidP="00BF6441">
      <w:pPr>
        <w:spacing w:line="360" w:lineRule="auto"/>
      </w:pPr>
      <w:r w:rsidRPr="001E5B99">
        <w:rPr>
          <w:b/>
        </w:rPr>
        <w:t>Description</w:t>
      </w:r>
      <w:r>
        <w:t>: On November 5, 2015 you are welcome to partic</w:t>
      </w:r>
      <w:r w:rsidR="00321B5D">
        <w:t>i</w:t>
      </w:r>
      <w:r>
        <w:t>pate in the AquaMatch, an international Water Technology &amp; Innovation brokerage event. The event is organised by the Netherlands Enterprise Agency and the Enterprise Europe Network.</w:t>
      </w:r>
      <w:r w:rsidR="00321B5D">
        <w:t xml:space="preserve"> </w:t>
      </w:r>
      <w:r>
        <w:t>The AquaMatch will take place at Aquatech Amsterdam during the Amsterdam International Water Week. From 2 - 6 November you'll have access to the Aquatech Amsterdam exhibition, an extensive conference and workshop programme and various excursions. The extensive programme provides many opportunities, to share your knowledge and experience, learn from water professionals &amp; best practices and be inspired by the world’s most leading water experts.</w:t>
      </w:r>
    </w:p>
    <w:p w:rsidR="001E5B99" w:rsidRDefault="001E5B99" w:rsidP="001E5B99">
      <w:pPr>
        <w:spacing w:line="360" w:lineRule="auto"/>
      </w:pPr>
    </w:p>
    <w:p w:rsidR="001E5B99" w:rsidRDefault="001E5B99" w:rsidP="001E5B99">
      <w:pPr>
        <w:spacing w:line="360" w:lineRule="auto"/>
      </w:pPr>
      <w:r w:rsidRPr="001E5B99">
        <w:rPr>
          <w:b/>
        </w:rPr>
        <w:lastRenderedPageBreak/>
        <w:t>Topics</w:t>
      </w:r>
      <w:r>
        <w:t>: Water treatment, Water re-use, Monitoring &amp; Sensoring; Water &amp; ICT; Water Management; Water &amp; Energy; H2020; Eurostars; LIFE, Partners for Water</w:t>
      </w:r>
    </w:p>
    <w:p w:rsidR="001E5B99" w:rsidRDefault="001E5B99" w:rsidP="001E5B99">
      <w:pPr>
        <w:spacing w:line="360" w:lineRule="auto"/>
      </w:pPr>
      <w:r w:rsidRPr="001E5B99">
        <w:rPr>
          <w:b/>
        </w:rPr>
        <w:t>More information</w:t>
      </w:r>
      <w:r>
        <w:t xml:space="preserve">: </w:t>
      </w:r>
      <w:hyperlink r:id="rId8" w:history="1">
        <w:r w:rsidR="00321B5D" w:rsidRPr="00285FEF">
          <w:rPr>
            <w:rStyle w:val="Hiperhivatkozs"/>
          </w:rPr>
          <w:t>https://www.b2match.eu/aquamatch2015</w:t>
        </w:r>
      </w:hyperlink>
      <w:r w:rsidR="00321B5D">
        <w:t xml:space="preserve"> </w:t>
      </w:r>
    </w:p>
    <w:p w:rsidR="00886B79" w:rsidRDefault="00886B79">
      <w:pPr>
        <w:spacing w:before="0" w:after="200" w:line="276" w:lineRule="auto"/>
        <w:jc w:val="left"/>
      </w:pPr>
    </w:p>
    <w:p w:rsidR="0097684B" w:rsidRPr="0097684B" w:rsidRDefault="0097684B">
      <w:pPr>
        <w:spacing w:before="0" w:after="200" w:line="276" w:lineRule="auto"/>
        <w:jc w:val="left"/>
        <w:rPr>
          <w:b/>
        </w:rPr>
      </w:pPr>
      <w:r w:rsidRPr="0097684B">
        <w:rPr>
          <w:b/>
        </w:rPr>
        <w:t>Event 2: Energy Days Graz 2016</w:t>
      </w:r>
    </w:p>
    <w:p w:rsidR="0097684B" w:rsidRDefault="0097684B">
      <w:pPr>
        <w:spacing w:before="0" w:after="200" w:line="276" w:lineRule="auto"/>
        <w:jc w:val="left"/>
      </w:pPr>
      <w:r w:rsidRPr="0097684B">
        <w:rPr>
          <w:b/>
        </w:rPr>
        <w:t>Date</w:t>
      </w:r>
      <w:r>
        <w:t>: 14 January 2016</w:t>
      </w:r>
    </w:p>
    <w:p w:rsidR="0097684B" w:rsidRDefault="0097684B" w:rsidP="0097684B">
      <w:pPr>
        <w:spacing w:before="0" w:after="200" w:line="276" w:lineRule="auto"/>
        <w:jc w:val="left"/>
      </w:pPr>
      <w:r w:rsidRPr="0097684B">
        <w:rPr>
          <w:b/>
        </w:rPr>
        <w:t>Venue</w:t>
      </w:r>
      <w:r>
        <w:t>: Messeturm, Messeplatz 1, 8010 Graz, Austria</w:t>
      </w:r>
    </w:p>
    <w:p w:rsidR="0097684B" w:rsidRDefault="0097684B">
      <w:pPr>
        <w:spacing w:before="0" w:after="200" w:line="276" w:lineRule="auto"/>
        <w:jc w:val="left"/>
      </w:pPr>
      <w:r w:rsidRPr="0097684B">
        <w:rPr>
          <w:b/>
        </w:rPr>
        <w:t>Registration deadline</w:t>
      </w:r>
      <w:r>
        <w:t>: 12 January 2016</w:t>
      </w:r>
    </w:p>
    <w:p w:rsidR="0097684B" w:rsidRDefault="0097684B">
      <w:pPr>
        <w:spacing w:before="0" w:after="200" w:line="276" w:lineRule="auto"/>
        <w:jc w:val="left"/>
      </w:pPr>
      <w:r w:rsidRPr="0097684B">
        <w:rPr>
          <w:b/>
        </w:rPr>
        <w:t>Deadline for applications</w:t>
      </w:r>
      <w:r>
        <w:t>: 5 January 2016</w:t>
      </w:r>
    </w:p>
    <w:p w:rsidR="0097684B" w:rsidRDefault="0097684B">
      <w:pPr>
        <w:spacing w:before="0" w:after="200" w:line="276" w:lineRule="auto"/>
        <w:jc w:val="left"/>
      </w:pPr>
      <w:r w:rsidRPr="0097684B">
        <w:rPr>
          <w:b/>
        </w:rPr>
        <w:t>Training</w:t>
      </w:r>
      <w:r>
        <w:t>: 13 January 2016</w:t>
      </w:r>
      <w:r w:rsidR="004E3DC8">
        <w:t>, provided by RCISD</w:t>
      </w:r>
    </w:p>
    <w:p w:rsidR="0097684B" w:rsidRDefault="0097684B">
      <w:pPr>
        <w:spacing w:before="0" w:after="200" w:line="276" w:lineRule="auto"/>
        <w:jc w:val="left"/>
      </w:pPr>
      <w:r w:rsidRPr="0097684B">
        <w:rPr>
          <w:b/>
        </w:rPr>
        <w:t>Registration fee</w:t>
      </w:r>
      <w:r>
        <w:t>: free of charge</w:t>
      </w:r>
    </w:p>
    <w:p w:rsidR="0097684B" w:rsidRDefault="0097684B">
      <w:pPr>
        <w:spacing w:before="0" w:after="200" w:line="276" w:lineRule="auto"/>
        <w:jc w:val="left"/>
      </w:pPr>
      <w:r w:rsidRPr="0097684B">
        <w:rPr>
          <w:b/>
        </w:rPr>
        <w:t>Number of days covered by the project</w:t>
      </w:r>
      <w:r>
        <w:t>: 12-15 January, 3 nights</w:t>
      </w:r>
    </w:p>
    <w:p w:rsidR="0097684B" w:rsidRDefault="0097684B" w:rsidP="00BF6441">
      <w:pPr>
        <w:spacing w:before="0" w:after="200" w:line="360" w:lineRule="auto"/>
      </w:pPr>
      <w:r w:rsidRPr="0097684B">
        <w:rPr>
          <w:b/>
        </w:rPr>
        <w:t>Description</w:t>
      </w:r>
      <w:r>
        <w:t>: The Häuslbauermesse Graz is a regional fair which is well known in Austria and its neighbouring countries. This fair attracts approximately 400 exhibitors and 40,000 international visitors every year. The matchmaking event during the Häuslbauermesse 2016 will take place in the Grazer Stadthalle at the centrally located Grazer Messe. The Stadthalle is easily and quickly reachable by car, train and also from the Airport Graz since it is near the town centre and yet close to the motorway (Exit “Graz Ost”). There are plenty of parking places next to the Stadthalle. Two trams (No. 4 and No. 5) to the city centre run directly in front of the event area.</w:t>
      </w:r>
    </w:p>
    <w:p w:rsidR="0097684B" w:rsidRDefault="0097684B" w:rsidP="0097684B">
      <w:pPr>
        <w:spacing w:before="0" w:after="200" w:line="360" w:lineRule="auto"/>
        <w:jc w:val="left"/>
      </w:pPr>
      <w:r w:rsidRPr="0097684B">
        <w:rPr>
          <w:b/>
        </w:rPr>
        <w:t>Topics</w:t>
      </w:r>
      <w:r>
        <w:t>: Solar technology/Photovoltaic, Insulation, Heating/Cooling/Ventilation, Heat Recovery, Biomass, Waste Water Treatment</w:t>
      </w:r>
    </w:p>
    <w:p w:rsidR="00EB1E8D" w:rsidRDefault="0097684B">
      <w:pPr>
        <w:spacing w:before="0" w:after="200" w:line="276" w:lineRule="auto"/>
        <w:jc w:val="left"/>
      </w:pPr>
      <w:r w:rsidRPr="0097684B">
        <w:rPr>
          <w:b/>
        </w:rPr>
        <w:t>More information</w:t>
      </w:r>
      <w:r>
        <w:t xml:space="preserve">: </w:t>
      </w:r>
      <w:hyperlink r:id="rId9" w:history="1">
        <w:r w:rsidRPr="0004371F">
          <w:rPr>
            <w:rStyle w:val="Hiperhivatkozs"/>
          </w:rPr>
          <w:t>https://www.b2match.eu/energydaysgraz2016</w:t>
        </w:r>
      </w:hyperlink>
      <w:r>
        <w:t xml:space="preserve"> </w:t>
      </w:r>
    </w:p>
    <w:p w:rsidR="00EB1E8D" w:rsidRDefault="00EB1E8D">
      <w:pPr>
        <w:spacing w:before="0" w:after="200" w:line="276" w:lineRule="auto"/>
        <w:jc w:val="left"/>
      </w:pPr>
      <w:r>
        <w:br w:type="page"/>
      </w:r>
    </w:p>
    <w:p w:rsidR="004E3DC8" w:rsidRDefault="004E3DC8" w:rsidP="00DE5E18">
      <w:pPr>
        <w:rPr>
          <w:b/>
          <w:bCs/>
          <w:u w:val="single"/>
        </w:rPr>
      </w:pPr>
    </w:p>
    <w:p w:rsidR="00DE5E18" w:rsidRPr="00DE5E18" w:rsidRDefault="00DE5E18" w:rsidP="00DE5E18">
      <w:pPr>
        <w:rPr>
          <w:b/>
          <w:bCs/>
          <w:u w:val="single"/>
        </w:rPr>
      </w:pPr>
      <w:r w:rsidRPr="00DE5E18">
        <w:rPr>
          <w:b/>
          <w:bCs/>
          <w:u w:val="single"/>
        </w:rPr>
        <w:t>Attachment: New Horizon 2020 work programmes</w:t>
      </w:r>
    </w:p>
    <w:p w:rsidR="00DE5E18" w:rsidRDefault="00DE5E18" w:rsidP="00DE5E18">
      <w:pPr>
        <w:spacing w:line="360" w:lineRule="auto"/>
      </w:pPr>
      <w:r>
        <w:t>Calls in 2016 which encourage the participation of third countries</w:t>
      </w:r>
    </w:p>
    <w:p w:rsidR="00DE5E18" w:rsidRDefault="00DE5E18" w:rsidP="00DE5E18">
      <w:pPr>
        <w:spacing w:line="360" w:lineRule="auto"/>
      </w:pPr>
    </w:p>
    <w:p w:rsidR="00DE5E18" w:rsidRPr="00DE5E18" w:rsidRDefault="00DE5E18" w:rsidP="00DE5E18">
      <w:pPr>
        <w:spacing w:line="360" w:lineRule="auto"/>
        <w:rPr>
          <w:b/>
        </w:rPr>
      </w:pPr>
      <w:r w:rsidRPr="00DE5E18">
        <w:rPr>
          <w:b/>
        </w:rPr>
        <w:t xml:space="preserve">Health - H2020-SC1-2016-2017 </w:t>
      </w:r>
    </w:p>
    <w:p w:rsidR="00DE5E18" w:rsidRDefault="00DE5E18" w:rsidP="00DE5E18">
      <w:pPr>
        <w:spacing w:line="360" w:lineRule="auto"/>
      </w:pPr>
      <w:r>
        <w:t>Understanding health, well-being and disease</w:t>
      </w:r>
    </w:p>
    <w:p w:rsidR="00DE5E18" w:rsidRPr="00DE5E18" w:rsidRDefault="00DE5E18" w:rsidP="00DE5E18">
      <w:pPr>
        <w:spacing w:line="360" w:lineRule="auto"/>
        <w:rPr>
          <w:i/>
        </w:rPr>
      </w:pPr>
      <w:r w:rsidRPr="00DE5E18">
        <w:rPr>
          <w:i/>
        </w:rPr>
        <w:t xml:space="preserve">SC1-PM-01-2016: Multi omics for personalised therapies addressing diseases of the immune system </w:t>
      </w:r>
    </w:p>
    <w:p w:rsidR="00DE5E18" w:rsidRDefault="00DE5E18" w:rsidP="00DE5E18">
      <w:pPr>
        <w:spacing w:line="360" w:lineRule="auto"/>
      </w:pPr>
      <w:r>
        <w:t xml:space="preserve">Proposals should address relevant ethical implications, take into account sex and gender differences and include a section on research data management. International cooperation is requested. In line with the Union's strategy for international cooperation in research and innovation proposals should create strategic synergies between scientists across disciplines, sectors and around the globe. </w:t>
      </w:r>
    </w:p>
    <w:p w:rsidR="00DE5E18" w:rsidRPr="00DE5E18" w:rsidRDefault="00DE5E18" w:rsidP="00DE5E18">
      <w:pPr>
        <w:spacing w:line="360" w:lineRule="auto"/>
        <w:rPr>
          <w:i/>
        </w:rPr>
      </w:pPr>
      <w:r w:rsidRPr="00DE5E18">
        <w:rPr>
          <w:i/>
        </w:rPr>
        <w:t xml:space="preserve">SC1-PM-04–2016: Networking and optimising the use of population and patient cohorts at EU level </w:t>
      </w:r>
    </w:p>
    <w:p w:rsidR="00DE5E18" w:rsidRDefault="00DE5E18" w:rsidP="00DE5E18">
      <w:pPr>
        <w:spacing w:line="360" w:lineRule="auto"/>
      </w:pPr>
      <w:r>
        <w:t>Synergies with relevant existing European infrastructures and additional collaborations with relevant international initiatives are encouraged. Proposals should also engage with relevant international/national/regional authorities to ensure that findings are implemented and translated into health policy.</w:t>
      </w:r>
    </w:p>
    <w:p w:rsidR="00DE5E18" w:rsidRPr="00DE5E18" w:rsidRDefault="00DE5E18" w:rsidP="00DE5E18">
      <w:pPr>
        <w:spacing w:line="360" w:lineRule="auto"/>
        <w:rPr>
          <w:i/>
        </w:rPr>
      </w:pPr>
      <w:r w:rsidRPr="00DE5E18">
        <w:rPr>
          <w:i/>
        </w:rPr>
        <w:t>SC1-PM-21-2016: Implementation research for scaling-up of evidence based innovations and good practice in Europe and low- and middle-income countries</w:t>
      </w:r>
    </w:p>
    <w:p w:rsidR="00DE5E18" w:rsidRDefault="00DE5E18" w:rsidP="00DE5E18">
      <w:pPr>
        <w:spacing w:line="360" w:lineRule="auto"/>
      </w:pPr>
      <w:r>
        <w:t xml:space="preserve">Proposals should seek to replicate and scale up a comprehensive intervention in the field of health systems that is innovative and well-researched, supported by sufficient documented evidence. This scaling up can take place within Europe as well as outside it, notably in low- and middle-income countries. </w:t>
      </w:r>
    </w:p>
    <w:p w:rsidR="00DE5E18" w:rsidRDefault="00DE5E18" w:rsidP="00DE5E18">
      <w:pPr>
        <w:spacing w:line="360" w:lineRule="auto"/>
      </w:pPr>
    </w:p>
    <w:p w:rsidR="00DE5E18" w:rsidRDefault="00DE5E18" w:rsidP="00DE5E18">
      <w:pPr>
        <w:spacing w:line="360" w:lineRule="auto"/>
      </w:pPr>
    </w:p>
    <w:p w:rsidR="00DE5E18" w:rsidRPr="00DE5E18" w:rsidRDefault="00DE5E18" w:rsidP="00DE5E18">
      <w:pPr>
        <w:spacing w:line="360" w:lineRule="auto"/>
        <w:rPr>
          <w:b/>
        </w:rPr>
      </w:pPr>
      <w:r w:rsidRPr="00DE5E18">
        <w:rPr>
          <w:b/>
        </w:rPr>
        <w:t xml:space="preserve">Energy - H2020-SC3-2016-2017 </w:t>
      </w:r>
    </w:p>
    <w:p w:rsidR="00DE5E18" w:rsidRPr="00DE5E18" w:rsidRDefault="00DE5E18" w:rsidP="00DE5E18">
      <w:pPr>
        <w:spacing w:line="360" w:lineRule="auto"/>
        <w:rPr>
          <w:i/>
        </w:rPr>
      </w:pPr>
      <w:r w:rsidRPr="00DE5E18">
        <w:rPr>
          <w:i/>
        </w:rPr>
        <w:t>SCC-1-2016-2017: Smart Cities and Communities lighthouse projects</w:t>
      </w:r>
    </w:p>
    <w:p w:rsidR="00DE5E18" w:rsidRDefault="00DE5E18" w:rsidP="00DE5E18">
      <w:pPr>
        <w:spacing w:line="360" w:lineRule="auto"/>
      </w:pPr>
      <w:r w:rsidRPr="00DE5E18">
        <w:rPr>
          <w:i/>
        </w:rPr>
        <w:t>LCE-6-2017: New knowledge and technologies</w:t>
      </w:r>
      <w:r>
        <w:rPr>
          <w:i/>
        </w:rPr>
        <w:t>/</w:t>
      </w:r>
      <w:r w:rsidRPr="00DE5E18">
        <w:rPr>
          <w:i/>
        </w:rPr>
        <w:t>Wind energy</w:t>
      </w:r>
    </w:p>
    <w:p w:rsidR="00DE5E18" w:rsidRDefault="00DE5E18" w:rsidP="00DE5E18">
      <w:pPr>
        <w:spacing w:line="360" w:lineRule="auto"/>
      </w:pPr>
      <w:r>
        <w:t>International cooperation with leading groups outside Europe is encouraged.</w:t>
      </w:r>
      <w:r>
        <w:cr/>
      </w:r>
    </w:p>
    <w:p w:rsidR="00DE5E18" w:rsidRPr="00DE5E18" w:rsidRDefault="00DE5E18" w:rsidP="00DE5E18">
      <w:pPr>
        <w:spacing w:line="360" w:lineRule="auto"/>
        <w:rPr>
          <w:b/>
        </w:rPr>
      </w:pPr>
      <w:r w:rsidRPr="00DE5E18">
        <w:rPr>
          <w:b/>
        </w:rPr>
        <w:t xml:space="preserve">Climate Action - H2020-SC5-2016-2017 </w:t>
      </w:r>
    </w:p>
    <w:p w:rsidR="00DE5E18" w:rsidRPr="00DE5E18" w:rsidRDefault="00DE5E18" w:rsidP="00DE5E18">
      <w:pPr>
        <w:spacing w:line="360" w:lineRule="auto"/>
        <w:rPr>
          <w:i/>
        </w:rPr>
      </w:pPr>
      <w:r w:rsidRPr="00DE5E18">
        <w:rPr>
          <w:i/>
        </w:rPr>
        <w:t>SC5-02-2017: Integrated European regional modelling and climate</w:t>
      </w:r>
      <w:r>
        <w:rPr>
          <w:i/>
        </w:rPr>
        <w:t xml:space="preserve"> </w:t>
      </w:r>
      <w:r w:rsidRPr="00DE5E18">
        <w:rPr>
          <w:i/>
        </w:rPr>
        <w:t>prediction system</w:t>
      </w:r>
    </w:p>
    <w:p w:rsidR="00DE5E18" w:rsidRPr="00375D73" w:rsidRDefault="00DE5E18" w:rsidP="00DE5E18">
      <w:pPr>
        <w:spacing w:line="360" w:lineRule="auto"/>
      </w:pPr>
      <w:r w:rsidRPr="00375D73">
        <w:t>In line with the strategy for EU international cooperation in research and innovation (COM(2012)497), international cooperation is encouraged, in particular with countries having developed similar systems and with countries wishing to develop capacities.</w:t>
      </w:r>
    </w:p>
    <w:p w:rsidR="00DE5E18" w:rsidRPr="00DE5E18" w:rsidRDefault="00DE5E18" w:rsidP="00DE5E18">
      <w:pPr>
        <w:spacing w:line="360" w:lineRule="auto"/>
        <w:rPr>
          <w:i/>
        </w:rPr>
      </w:pPr>
      <w:r w:rsidRPr="00DE5E18">
        <w:rPr>
          <w:i/>
        </w:rPr>
        <w:t xml:space="preserve">SC5-05-2016: A 1.5 million year look into the past for improving climate predictions </w:t>
      </w:r>
    </w:p>
    <w:p w:rsidR="00DE5E18" w:rsidRDefault="00DE5E18" w:rsidP="00DE5E18">
      <w:pPr>
        <w:spacing w:line="360" w:lineRule="auto"/>
      </w:pPr>
      <w:r>
        <w:t xml:space="preserve">In line with the strategy for EU international cooperation in research and innovation (COM(2012)497), international cooperation is encouraged. </w:t>
      </w:r>
    </w:p>
    <w:p w:rsidR="00DE5E18" w:rsidRPr="00DE5E18" w:rsidRDefault="00DE5E18" w:rsidP="00DE5E18">
      <w:pPr>
        <w:spacing w:line="360" w:lineRule="auto"/>
        <w:rPr>
          <w:i/>
        </w:rPr>
      </w:pPr>
      <w:r w:rsidRPr="00DE5E18">
        <w:rPr>
          <w:i/>
        </w:rPr>
        <w:t xml:space="preserve">SC5-06-2016-2017: Pathways towards the decarbonisation and resilience of the European economy in the timeframe 2030-2050 and beyond </w:t>
      </w:r>
    </w:p>
    <w:p w:rsidR="00DE5E18" w:rsidRDefault="00DE5E18" w:rsidP="00DE5E18">
      <w:pPr>
        <w:spacing w:line="360" w:lineRule="auto"/>
      </w:pPr>
      <w:r>
        <w:t>b) Assessment of the global mitigation efforts in the perspective of the long-term climate goal (2016)</w:t>
      </w:r>
    </w:p>
    <w:p w:rsidR="00DE5E18" w:rsidRDefault="00DE5E18" w:rsidP="00DE5E18">
      <w:pPr>
        <w:spacing w:line="360" w:lineRule="auto"/>
      </w:pPr>
      <w:r>
        <w:t xml:space="preserve">In line with the strategy for EU international cooperation in research and innovation (COM(2012)497), international cooperation is encouraged, in particular with countries that substantially contribute to global greenhouse gas emissions. Proposals should include partners from (non-European) high-, middle- and/or low-income countries. </w:t>
      </w:r>
    </w:p>
    <w:p w:rsidR="00375D73" w:rsidRPr="00375D73" w:rsidRDefault="00375D73" w:rsidP="00375D73">
      <w:pPr>
        <w:spacing w:line="360" w:lineRule="auto"/>
        <w:rPr>
          <w:i/>
        </w:rPr>
      </w:pPr>
      <w:r w:rsidRPr="00375D73">
        <w:rPr>
          <w:i/>
        </w:rPr>
        <w:t>SC5-08-2017: Large-scale demonstrators on nature-based solutions for hydro-meteorological risk reduction</w:t>
      </w:r>
    </w:p>
    <w:p w:rsidR="00375D73" w:rsidRDefault="00375D73" w:rsidP="00375D73">
      <w:pPr>
        <w:spacing w:line="360" w:lineRule="auto"/>
      </w:pPr>
      <w:r>
        <w:lastRenderedPageBreak/>
        <w:t>In line with the strategy for EU international cooperation in research and innovation (COM(2012)497), cooperation and synergies with similar international demonstration activities on nature-based solutions for hydro-meteorological risk reduction and climate change adaptation, funded under different financial arrangements or programmes, is encouraged to facilitate mutual learning, sharing of experience, networking and follow-up.</w:t>
      </w:r>
    </w:p>
    <w:p w:rsidR="00DE5E18" w:rsidRPr="00DE5E18" w:rsidRDefault="00DE5E18" w:rsidP="00DE5E18">
      <w:pPr>
        <w:spacing w:line="360" w:lineRule="auto"/>
        <w:rPr>
          <w:i/>
        </w:rPr>
      </w:pPr>
      <w:r w:rsidRPr="00DE5E18">
        <w:rPr>
          <w:i/>
        </w:rPr>
        <w:t xml:space="preserve">SC5-11-2016: Supporting international cooperation activities on water </w:t>
      </w:r>
    </w:p>
    <w:p w:rsidR="00DE5E18" w:rsidRDefault="00DE5E18" w:rsidP="00DE5E18">
      <w:pPr>
        <w:spacing w:line="360" w:lineRule="auto"/>
      </w:pPr>
      <w:r>
        <w:t xml:space="preserve">The challenge is to further enhance the opening of the Water JPI to international cooperation and thus contribute to creating a coherent European Research Area that is open to international cooperation in the area of water – a global research and innovation challenge par excellence. </w:t>
      </w:r>
    </w:p>
    <w:p w:rsidR="00DE5E18" w:rsidRPr="00DE5E18" w:rsidRDefault="00DE5E18" w:rsidP="00DE5E18">
      <w:pPr>
        <w:spacing w:line="360" w:lineRule="auto"/>
        <w:rPr>
          <w:i/>
        </w:rPr>
      </w:pPr>
      <w:r w:rsidRPr="00DE5E18">
        <w:rPr>
          <w:i/>
        </w:rPr>
        <w:t xml:space="preserve">SC5-13-2016-2017: New solutions for sustainable production of raw materials </w:t>
      </w:r>
    </w:p>
    <w:p w:rsidR="00DE5E18" w:rsidRDefault="00DE5E18" w:rsidP="00DE5E18">
      <w:pPr>
        <w:spacing w:line="360" w:lineRule="auto"/>
      </w:pPr>
      <w:r>
        <w:t>In line with the EU's strategy for international co-operation in research and innovation (COM(2012)497) international co-operation is encouraged.</w:t>
      </w:r>
    </w:p>
    <w:p w:rsidR="00DE5E18" w:rsidRDefault="00DE5E18" w:rsidP="00DE5E18">
      <w:pPr>
        <w:spacing w:line="360" w:lineRule="auto"/>
      </w:pPr>
      <w:r>
        <w:t xml:space="preserve">Proposals shall address only one of the following issues: </w:t>
      </w:r>
    </w:p>
    <w:p w:rsidR="00DE5E18" w:rsidRDefault="00DE5E18" w:rsidP="00375D73">
      <w:r>
        <w:t>a)</w:t>
      </w:r>
      <w:r>
        <w:tab/>
        <w:t>Sustainable selective low impact mining (2016):</w:t>
      </w:r>
    </w:p>
    <w:p w:rsidR="00DE5E18" w:rsidRDefault="00DE5E18" w:rsidP="00375D73">
      <w:r>
        <w:t>b)</w:t>
      </w:r>
      <w:r>
        <w:tab/>
        <w:t>New technologies for the enhanced recovery of by-products (2016)</w:t>
      </w:r>
    </w:p>
    <w:p w:rsidR="00DE5E18" w:rsidRDefault="00DE5E18" w:rsidP="00375D73">
      <w:r>
        <w:t>c)</w:t>
      </w:r>
      <w:r>
        <w:tab/>
        <w:t>New sensitive exploration technologies (2017)</w:t>
      </w:r>
    </w:p>
    <w:p w:rsidR="00DE5E18" w:rsidRPr="00DE5E18" w:rsidRDefault="00DE5E18" w:rsidP="00DE5E18">
      <w:pPr>
        <w:spacing w:line="360" w:lineRule="auto"/>
        <w:rPr>
          <w:i/>
        </w:rPr>
      </w:pPr>
      <w:r w:rsidRPr="00DE5E18">
        <w:rPr>
          <w:i/>
        </w:rPr>
        <w:t>SC5-14-2016-2017: Raw materials Innovation actions</w:t>
      </w:r>
    </w:p>
    <w:p w:rsidR="00DE5E18" w:rsidRDefault="00DE5E18" w:rsidP="00DE5E18">
      <w:pPr>
        <w:spacing w:line="360" w:lineRule="auto"/>
      </w:pPr>
      <w:r>
        <w:t>In line with the EU's strategy for international co-operation in research and innovation (COM(2012)497) international cooperation is encouraged.</w:t>
      </w:r>
    </w:p>
    <w:p w:rsidR="00DE5E18" w:rsidRDefault="00DE5E18" w:rsidP="00DE5E18">
      <w:pPr>
        <w:spacing w:line="360" w:lineRule="auto"/>
      </w:pPr>
      <w:r>
        <w:t xml:space="preserve">Proposals shall address only one of the following issues: </w:t>
      </w:r>
    </w:p>
    <w:p w:rsidR="00DE5E18" w:rsidRDefault="00DE5E18" w:rsidP="00375D73">
      <w:r>
        <w:t>a)</w:t>
      </w:r>
      <w:r>
        <w:tab/>
        <w:t>Intelligent mining on land (2016)</w:t>
      </w:r>
    </w:p>
    <w:p w:rsidR="00DE5E18" w:rsidRDefault="00DE5E18" w:rsidP="00375D73">
      <w:r>
        <w:t>b)</w:t>
      </w:r>
      <w:r>
        <w:tab/>
        <w:t>Processing of lower grade and/or complex primary and/or secondary raw materials in the most sustainable ways (2017)</w:t>
      </w:r>
    </w:p>
    <w:p w:rsidR="00DE5E18" w:rsidRDefault="00DE5E18" w:rsidP="00375D73">
      <w:r>
        <w:t>c)</w:t>
      </w:r>
      <w:r>
        <w:tab/>
        <w:t>Sustainable metallurgical processes (2017)</w:t>
      </w:r>
    </w:p>
    <w:p w:rsidR="00DE5E18" w:rsidRPr="00DE5E18" w:rsidRDefault="00DE5E18" w:rsidP="00DE5E18">
      <w:pPr>
        <w:spacing w:line="360" w:lineRule="auto"/>
        <w:rPr>
          <w:i/>
        </w:rPr>
      </w:pPr>
      <w:r w:rsidRPr="00DE5E18">
        <w:rPr>
          <w:i/>
        </w:rPr>
        <w:t>SC5-16-2016-2017: Raw materials international co-operation</w:t>
      </w:r>
    </w:p>
    <w:p w:rsidR="00DE5E18" w:rsidRDefault="00DE5E18" w:rsidP="00DE5E18">
      <w:pPr>
        <w:spacing w:line="360" w:lineRule="auto"/>
      </w:pPr>
      <w:r>
        <w:t>b) Advancing the idea of a World Forum on Raw Materials (2016)</w:t>
      </w:r>
    </w:p>
    <w:p w:rsidR="00DE5E18" w:rsidRDefault="00DE5E18" w:rsidP="00DE5E18">
      <w:pPr>
        <w:spacing w:line="360" w:lineRule="auto"/>
      </w:pPr>
      <w:r>
        <w:lastRenderedPageBreak/>
        <w:t>In line with the strategy for EU international co-operation in research and innovation (COM(2012)497), international co-operation is required, in particular with G20 Member countries as well as the other third countries active in the mining and other raw materials sectors, and international organisations.</w:t>
      </w:r>
    </w:p>
    <w:p w:rsidR="00DE5E18" w:rsidRDefault="00DE5E18" w:rsidP="00DE5E18">
      <w:pPr>
        <w:spacing w:line="360" w:lineRule="auto"/>
      </w:pPr>
      <w:r>
        <w:t>c) International network of raw materials training centres (2017)</w:t>
      </w:r>
    </w:p>
    <w:p w:rsidR="00DE5E18" w:rsidRDefault="00DE5E18" w:rsidP="00DE5E18">
      <w:pPr>
        <w:spacing w:line="360" w:lineRule="auto"/>
      </w:pPr>
      <w:r>
        <w:t>In line with the EU's strategy for international co-operation in research and innovation (COM(2012)497), international collaboration is required.</w:t>
      </w:r>
    </w:p>
    <w:p w:rsidR="00DE5E18" w:rsidRDefault="00DE5E18" w:rsidP="00DE5E18">
      <w:pPr>
        <w:spacing w:line="360" w:lineRule="auto"/>
      </w:pPr>
    </w:p>
    <w:p w:rsidR="008356E1" w:rsidRDefault="008356E1" w:rsidP="00BC0AED">
      <w:pPr>
        <w:spacing w:line="360" w:lineRule="auto"/>
      </w:pPr>
    </w:p>
    <w:sectPr w:rsidR="008356E1">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337" w:rsidRDefault="00112337" w:rsidP="009E3612">
      <w:pPr>
        <w:spacing w:before="0"/>
      </w:pPr>
      <w:r>
        <w:separator/>
      </w:r>
    </w:p>
  </w:endnote>
  <w:endnote w:type="continuationSeparator" w:id="0">
    <w:p w:rsidR="00112337" w:rsidRDefault="00112337" w:rsidP="009E36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716"/>
      <w:gridCol w:w="222"/>
    </w:tblGrid>
    <w:tr w:rsidR="00310D6C" w:rsidRPr="00310D6C" w:rsidTr="006A5FA6">
      <w:tc>
        <w:tcPr>
          <w:tcW w:w="0" w:type="auto"/>
        </w:tcPr>
        <w:p w:rsidR="00310D6C" w:rsidRPr="00310D6C" w:rsidRDefault="00310D6C" w:rsidP="00310D6C">
          <w:pPr>
            <w:tabs>
              <w:tab w:val="center" w:pos="4153"/>
              <w:tab w:val="right" w:pos="8306"/>
            </w:tabs>
            <w:spacing w:before="0"/>
            <w:jc w:val="left"/>
            <w:rPr>
              <w:lang w:eastAsia="el-GR"/>
            </w:rPr>
          </w:pPr>
          <w:r w:rsidRPr="00310D6C">
            <w:rPr>
              <w:noProof/>
              <w:lang w:val="hu-HU" w:eastAsia="hu-HU"/>
            </w:rPr>
            <w:drawing>
              <wp:inline distT="0" distB="0" distL="0" distR="0" wp14:anchorId="3DFE8572" wp14:editId="68522D12">
                <wp:extent cx="942975" cy="638175"/>
                <wp:effectExtent l="0" t="0" r="9525" b="9525"/>
                <wp:docPr id="2" name="Kép 2" descr="http://www.euroesprit.org/content/delta2/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www.euroesprit.org/content/delta2/EU_Fl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38175"/>
                        </a:xfrm>
                        <a:prstGeom prst="rect">
                          <a:avLst/>
                        </a:prstGeom>
                        <a:noFill/>
                        <a:ln>
                          <a:noFill/>
                        </a:ln>
                      </pic:spPr>
                    </pic:pic>
                  </a:graphicData>
                </a:graphic>
              </wp:inline>
            </w:drawing>
          </w:r>
          <w:r w:rsidRPr="00310D6C">
            <w:rPr>
              <w:rFonts w:ascii="Calibri Light" w:hAnsi="Calibri Light"/>
              <w:i/>
              <w:iCs/>
              <w:color w:val="1F497D"/>
              <w:sz w:val="22"/>
              <w:szCs w:val="22"/>
              <w:shd w:val="clear" w:color="auto" w:fill="FFFFFF"/>
              <w:lang w:eastAsia="el-GR"/>
            </w:rPr>
            <w:t xml:space="preserve"> </w:t>
          </w:r>
        </w:p>
      </w:tc>
      <w:tc>
        <w:tcPr>
          <w:tcW w:w="0" w:type="auto"/>
        </w:tcPr>
        <w:p w:rsidR="00310D6C" w:rsidRPr="00310D6C" w:rsidRDefault="00310D6C" w:rsidP="00310D6C">
          <w:pPr>
            <w:tabs>
              <w:tab w:val="center" w:pos="4153"/>
              <w:tab w:val="right" w:pos="8306"/>
            </w:tabs>
            <w:spacing w:before="0"/>
            <w:jc w:val="left"/>
            <w:rPr>
              <w:lang w:eastAsia="el-GR"/>
            </w:rPr>
          </w:pPr>
          <w:r w:rsidRPr="00310D6C">
            <w:rPr>
              <w:noProof/>
              <w:lang w:val="hu-HU" w:eastAsia="hu-HU"/>
            </w:rPr>
            <mc:AlternateContent>
              <mc:Choice Requires="wps">
                <w:drawing>
                  <wp:anchor distT="0" distB="0" distL="114300" distR="114300" simplePos="0" relativeHeight="251659264" behindDoc="0" locked="0" layoutInCell="1" allowOverlap="1" wp14:anchorId="3397F065" wp14:editId="66EE18E6">
                    <wp:simplePos x="0" y="0"/>
                    <wp:positionH relativeFrom="column">
                      <wp:posOffset>22860</wp:posOffset>
                    </wp:positionH>
                    <wp:positionV relativeFrom="paragraph">
                      <wp:posOffset>66675</wp:posOffset>
                    </wp:positionV>
                    <wp:extent cx="5086350" cy="840105"/>
                    <wp:effectExtent l="0" t="0" r="19050" b="17145"/>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840105"/>
                            </a:xfrm>
                            <a:prstGeom prst="rect">
                              <a:avLst/>
                            </a:prstGeom>
                            <a:solidFill>
                              <a:srgbClr val="FFFFFF"/>
                            </a:solidFill>
                            <a:ln w="9525">
                              <a:solidFill>
                                <a:srgbClr val="000000"/>
                              </a:solidFill>
                              <a:miter lim="800000"/>
                              <a:headEnd/>
                              <a:tailEnd/>
                            </a:ln>
                          </wps:spPr>
                          <wps:txbx>
                            <w:txbxContent>
                              <w:p w:rsidR="00310D6C" w:rsidRPr="00105514" w:rsidRDefault="00310D6C" w:rsidP="00310D6C">
                                <w:pPr>
                                  <w:rPr>
                                    <w:lang w:val="hu-HU"/>
                                  </w:rPr>
                                </w:pPr>
                                <w:r w:rsidRPr="00105514">
                                  <w:rPr>
                                    <w:iCs/>
                                    <w:color w:val="1F497D"/>
                                    <w:sz w:val="22"/>
                                    <w:szCs w:val="22"/>
                                    <w:shd w:val="clear" w:color="auto" w:fill="FFFFFF"/>
                                  </w:rPr>
                                  <w:t>IncoNet EaP and IncoNet CA have received funding from the European Union’s Seventh Framework Programme for research, technological development and demonstration under grant agreements no 609528 and 609508 respectively.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3" o:spid="_x0000_s1026" type="#_x0000_t202" style="position:absolute;margin-left:1.8pt;margin-top:5.25pt;width:400.5pt;height: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">
                    <v:textbox>
                      <w:txbxContent>
                        <w:p w:rsidR="00310D6C" w:rsidRPr="00105514" w:rsidRDefault="00310D6C" w:rsidP="00310D6C">
                          <w:pPr>
                            <w:rPr>
                              <w:lang w:val="hu-HU"/>
                            </w:rPr>
                          </w:pPr>
                          <w:proofErr w:type="spellStart"/>
                          <w:r w:rsidRPr="00105514">
                            <w:rPr>
                              <w:iCs/>
                              <w:color w:val="1F497D"/>
                              <w:sz w:val="22"/>
                              <w:szCs w:val="22"/>
                              <w:shd w:val="clear" w:color="auto" w:fill="FFFFFF"/>
                            </w:rPr>
                            <w:t>IncoNet</w:t>
                          </w:r>
                          <w:proofErr w:type="spellEnd"/>
                          <w:r w:rsidRPr="00105514">
                            <w:rPr>
                              <w:iCs/>
                              <w:color w:val="1F497D"/>
                              <w:sz w:val="22"/>
                              <w:szCs w:val="22"/>
                              <w:shd w:val="clear" w:color="auto" w:fill="FFFFFF"/>
                            </w:rPr>
                            <w:t xml:space="preserve"> </w:t>
                          </w:r>
                          <w:proofErr w:type="spellStart"/>
                          <w:r w:rsidRPr="00105514">
                            <w:rPr>
                              <w:iCs/>
                              <w:color w:val="1F497D"/>
                              <w:sz w:val="22"/>
                              <w:szCs w:val="22"/>
                              <w:shd w:val="clear" w:color="auto" w:fill="FFFFFF"/>
                            </w:rPr>
                            <w:t>EaP</w:t>
                          </w:r>
                          <w:proofErr w:type="spellEnd"/>
                          <w:r w:rsidRPr="00105514">
                            <w:rPr>
                              <w:iCs/>
                              <w:color w:val="1F497D"/>
                              <w:sz w:val="22"/>
                              <w:szCs w:val="22"/>
                              <w:shd w:val="clear" w:color="auto" w:fill="FFFFFF"/>
                            </w:rPr>
                            <w:t xml:space="preserve"> and </w:t>
                          </w:r>
                          <w:proofErr w:type="spellStart"/>
                          <w:r w:rsidRPr="00105514">
                            <w:rPr>
                              <w:iCs/>
                              <w:color w:val="1F497D"/>
                              <w:sz w:val="22"/>
                              <w:szCs w:val="22"/>
                              <w:shd w:val="clear" w:color="auto" w:fill="FFFFFF"/>
                            </w:rPr>
                            <w:t>IncoNet</w:t>
                          </w:r>
                          <w:proofErr w:type="spellEnd"/>
                          <w:r w:rsidRPr="00105514">
                            <w:rPr>
                              <w:iCs/>
                              <w:color w:val="1F497D"/>
                              <w:sz w:val="22"/>
                              <w:szCs w:val="22"/>
                              <w:shd w:val="clear" w:color="auto" w:fill="FFFFFF"/>
                            </w:rPr>
                            <w:t xml:space="preserve"> CA have received funding from the European Union’s Seventh Framework Programme for </w:t>
                          </w:r>
                          <w:proofErr w:type="gramStart"/>
                          <w:r w:rsidRPr="00105514">
                            <w:rPr>
                              <w:iCs/>
                              <w:color w:val="1F497D"/>
                              <w:sz w:val="22"/>
                              <w:szCs w:val="22"/>
                              <w:shd w:val="clear" w:color="auto" w:fill="FFFFFF"/>
                            </w:rPr>
                            <w:t>research,</w:t>
                          </w:r>
                          <w:proofErr w:type="gramEnd"/>
                          <w:r w:rsidRPr="00105514">
                            <w:rPr>
                              <w:iCs/>
                              <w:color w:val="1F497D"/>
                              <w:sz w:val="22"/>
                              <w:szCs w:val="22"/>
                              <w:shd w:val="clear" w:color="auto" w:fill="FFFFFF"/>
                            </w:rPr>
                            <w:t xml:space="preserve"> technological development and demonstration under grant agreements no 609528 and 609508 respectively.</w:t>
                          </w:r>
                        </w:p>
                      </w:txbxContent>
                    </v:textbox>
                  </v:shape>
                </w:pict>
              </mc:Fallback>
            </mc:AlternateContent>
          </w:r>
        </w:p>
      </w:tc>
    </w:tr>
  </w:tbl>
  <w:p w:rsidR="00310D6C" w:rsidRDefault="00310D6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337" w:rsidRDefault="00112337" w:rsidP="009E3612">
      <w:pPr>
        <w:spacing w:before="0"/>
      </w:pPr>
      <w:r>
        <w:separator/>
      </w:r>
    </w:p>
  </w:footnote>
  <w:footnote w:type="continuationSeparator" w:id="0">
    <w:p w:rsidR="00112337" w:rsidRDefault="00112337" w:rsidP="009E361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12" w:rsidRDefault="00310D6C" w:rsidP="00310D6C">
    <w:pPr>
      <w:pStyle w:val="lfej"/>
      <w:jc w:val="center"/>
    </w:pPr>
    <w:r>
      <w:rPr>
        <w:noProof/>
        <w:lang w:val="hu-HU" w:eastAsia="hu-HU"/>
      </w:rPr>
      <w:drawing>
        <wp:inline distT="0" distB="0" distL="0" distR="0" wp14:anchorId="2E9EF4B1">
          <wp:extent cx="1286510" cy="731520"/>
          <wp:effectExtent l="0" t="0" r="889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7315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D23"/>
    <w:multiLevelType w:val="multilevel"/>
    <w:tmpl w:val="5FD86A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5"/>
      <w:numFmt w:val="bullet"/>
      <w:lvlText w:val="-"/>
      <w:lvlJc w:val="left"/>
      <w:pPr>
        <w:ind w:left="1800" w:hanging="360"/>
      </w:pPr>
      <w:rPr>
        <w:rFonts w:ascii="Times New Roman" w:eastAsia="Times New Roman" w:hAnsi="Times New Roman"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1BA18F1"/>
    <w:multiLevelType w:val="hybridMultilevel"/>
    <w:tmpl w:val="7DA8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FA4634"/>
    <w:multiLevelType w:val="hybridMultilevel"/>
    <w:tmpl w:val="1A080C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B653F72"/>
    <w:multiLevelType w:val="hybridMultilevel"/>
    <w:tmpl w:val="022A7F42"/>
    <w:lvl w:ilvl="0" w:tplc="58B69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11CCE"/>
    <w:multiLevelType w:val="hybridMultilevel"/>
    <w:tmpl w:val="FE1895F2"/>
    <w:lvl w:ilvl="0" w:tplc="E084A4F6">
      <w:start w:val="1"/>
      <w:numFmt w:val="decimal"/>
      <w:pStyle w:val="IncoNetHeading2"/>
      <w:lvlText w:val="%1."/>
      <w:lvlJc w:val="left"/>
      <w:pPr>
        <w:ind w:left="1003" w:hanging="360"/>
      </w:pPr>
      <w:rPr>
        <w:rFonts w:hint="default"/>
        <w:color w:val="2E74B5"/>
      </w:r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5">
    <w:nsid w:val="48C86D4D"/>
    <w:multiLevelType w:val="hybridMultilevel"/>
    <w:tmpl w:val="D70C836E"/>
    <w:lvl w:ilvl="0" w:tplc="3522CC00">
      <w:start w:val="1"/>
      <w:numFmt w:val="bullet"/>
      <w:lvlText w:val=""/>
      <w:lvlJc w:val="left"/>
      <w:pPr>
        <w:tabs>
          <w:tab w:val="num" w:pos="360"/>
        </w:tabs>
        <w:ind w:left="360" w:hanging="360"/>
      </w:pPr>
      <w:rPr>
        <w:rFonts w:ascii="Symbol" w:hAnsi="Symbol" w:hint="default"/>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D85260A"/>
    <w:multiLevelType w:val="hybridMultilevel"/>
    <w:tmpl w:val="5F000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00593B"/>
    <w:multiLevelType w:val="hybridMultilevel"/>
    <w:tmpl w:val="1F24E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9C739E"/>
    <w:multiLevelType w:val="hybridMultilevel"/>
    <w:tmpl w:val="A25ADD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2"/>
  </w:num>
  <w:num w:numId="6">
    <w:abstractNumId w:val="1"/>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12"/>
    <w:rsid w:val="00093F15"/>
    <w:rsid w:val="00112337"/>
    <w:rsid w:val="001B2C8A"/>
    <w:rsid w:val="001E5B99"/>
    <w:rsid w:val="00227C28"/>
    <w:rsid w:val="00310D6C"/>
    <w:rsid w:val="00321B5D"/>
    <w:rsid w:val="00375D73"/>
    <w:rsid w:val="003D2119"/>
    <w:rsid w:val="0042415D"/>
    <w:rsid w:val="004A748C"/>
    <w:rsid w:val="004E3DC8"/>
    <w:rsid w:val="005135B6"/>
    <w:rsid w:val="005B3DA9"/>
    <w:rsid w:val="00792B8A"/>
    <w:rsid w:val="008356E1"/>
    <w:rsid w:val="00836375"/>
    <w:rsid w:val="00886B79"/>
    <w:rsid w:val="0092049F"/>
    <w:rsid w:val="0097684B"/>
    <w:rsid w:val="009E3612"/>
    <w:rsid w:val="00B52488"/>
    <w:rsid w:val="00BB03E2"/>
    <w:rsid w:val="00BC0AED"/>
    <w:rsid w:val="00BF6441"/>
    <w:rsid w:val="00CA6943"/>
    <w:rsid w:val="00D678EE"/>
    <w:rsid w:val="00DE5E18"/>
    <w:rsid w:val="00EB1E8D"/>
    <w:rsid w:val="00F0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E3612"/>
    <w:pPr>
      <w:spacing w:before="120" w:after="0" w:line="240" w:lineRule="auto"/>
      <w:jc w:val="both"/>
    </w:pPr>
    <w:rPr>
      <w:rFonts w:ascii="Times New Roman" w:eastAsia="Times New Roman" w:hAnsi="Times New Roman" w:cs="Times New Roman"/>
      <w:sz w:val="24"/>
      <w:szCs w:val="24"/>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IncoNetHeading2">
    <w:name w:val="IncoNet Heading 2"/>
    <w:basedOn w:val="Norml"/>
    <w:qFormat/>
    <w:rsid w:val="009E3612"/>
    <w:pPr>
      <w:keepNext/>
      <w:numPr>
        <w:numId w:val="1"/>
      </w:numPr>
      <w:spacing w:before="240" w:after="120"/>
      <w:outlineLvl w:val="0"/>
    </w:pPr>
    <w:rPr>
      <w:rFonts w:cs="Arial"/>
      <w:b/>
      <w:bCs/>
      <w:color w:val="C45911"/>
      <w:kern w:val="32"/>
      <w:sz w:val="28"/>
      <w:szCs w:val="32"/>
    </w:rPr>
  </w:style>
  <w:style w:type="paragraph" w:styleId="lfej">
    <w:name w:val="header"/>
    <w:basedOn w:val="Norml"/>
    <w:link w:val="lfejChar"/>
    <w:uiPriority w:val="99"/>
    <w:unhideWhenUsed/>
    <w:rsid w:val="009E3612"/>
    <w:pPr>
      <w:tabs>
        <w:tab w:val="center" w:pos="4703"/>
        <w:tab w:val="right" w:pos="9406"/>
      </w:tabs>
      <w:spacing w:before="0"/>
    </w:pPr>
  </w:style>
  <w:style w:type="character" w:customStyle="1" w:styleId="lfejChar">
    <w:name w:val="Élőfej Char"/>
    <w:basedOn w:val="Bekezdsalapbettpusa"/>
    <w:link w:val="lfej"/>
    <w:uiPriority w:val="99"/>
    <w:rsid w:val="009E3612"/>
    <w:rPr>
      <w:rFonts w:ascii="Times New Roman" w:eastAsia="Times New Roman" w:hAnsi="Times New Roman" w:cs="Times New Roman"/>
      <w:sz w:val="24"/>
      <w:szCs w:val="24"/>
      <w:lang w:val="en-GB"/>
    </w:rPr>
  </w:style>
  <w:style w:type="paragraph" w:styleId="llb">
    <w:name w:val="footer"/>
    <w:basedOn w:val="Norml"/>
    <w:link w:val="llbChar"/>
    <w:uiPriority w:val="99"/>
    <w:unhideWhenUsed/>
    <w:rsid w:val="009E3612"/>
    <w:pPr>
      <w:tabs>
        <w:tab w:val="center" w:pos="4703"/>
        <w:tab w:val="right" w:pos="9406"/>
      </w:tabs>
      <w:spacing w:before="0"/>
    </w:pPr>
  </w:style>
  <w:style w:type="character" w:customStyle="1" w:styleId="llbChar">
    <w:name w:val="Élőláb Char"/>
    <w:basedOn w:val="Bekezdsalapbettpusa"/>
    <w:link w:val="llb"/>
    <w:uiPriority w:val="99"/>
    <w:rsid w:val="009E3612"/>
    <w:rPr>
      <w:rFonts w:ascii="Times New Roman" w:eastAsia="Times New Roman" w:hAnsi="Times New Roman" w:cs="Times New Roman"/>
      <w:sz w:val="24"/>
      <w:szCs w:val="24"/>
      <w:lang w:val="en-GB"/>
    </w:rPr>
  </w:style>
  <w:style w:type="paragraph" w:styleId="Buborkszveg">
    <w:name w:val="Balloon Text"/>
    <w:basedOn w:val="Norml"/>
    <w:link w:val="BuborkszvegChar"/>
    <w:uiPriority w:val="99"/>
    <w:semiHidden/>
    <w:unhideWhenUsed/>
    <w:rsid w:val="009E3612"/>
    <w:pPr>
      <w:spacing w:before="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E3612"/>
    <w:rPr>
      <w:rFonts w:ascii="Tahoma" w:eastAsia="Times New Roman" w:hAnsi="Tahoma" w:cs="Tahoma"/>
      <w:sz w:val="16"/>
      <w:szCs w:val="16"/>
      <w:lang w:val="en-GB"/>
    </w:rPr>
  </w:style>
  <w:style w:type="paragraph" w:styleId="Listaszerbekezds">
    <w:name w:val="List Paragraph"/>
    <w:basedOn w:val="Norml"/>
    <w:uiPriority w:val="34"/>
    <w:qFormat/>
    <w:rsid w:val="00F006F5"/>
    <w:pPr>
      <w:ind w:left="720"/>
      <w:contextualSpacing/>
    </w:pPr>
  </w:style>
  <w:style w:type="character" w:styleId="Hiperhivatkozs">
    <w:name w:val="Hyperlink"/>
    <w:basedOn w:val="Bekezdsalapbettpusa"/>
    <w:uiPriority w:val="99"/>
    <w:unhideWhenUsed/>
    <w:rsid w:val="00DE5E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E3612"/>
    <w:pPr>
      <w:spacing w:before="120" w:after="0" w:line="240" w:lineRule="auto"/>
      <w:jc w:val="both"/>
    </w:pPr>
    <w:rPr>
      <w:rFonts w:ascii="Times New Roman" w:eastAsia="Times New Roman" w:hAnsi="Times New Roman" w:cs="Times New Roman"/>
      <w:sz w:val="24"/>
      <w:szCs w:val="24"/>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IncoNetHeading2">
    <w:name w:val="IncoNet Heading 2"/>
    <w:basedOn w:val="Norml"/>
    <w:qFormat/>
    <w:rsid w:val="009E3612"/>
    <w:pPr>
      <w:keepNext/>
      <w:numPr>
        <w:numId w:val="1"/>
      </w:numPr>
      <w:spacing w:before="240" w:after="120"/>
      <w:outlineLvl w:val="0"/>
    </w:pPr>
    <w:rPr>
      <w:rFonts w:cs="Arial"/>
      <w:b/>
      <w:bCs/>
      <w:color w:val="C45911"/>
      <w:kern w:val="32"/>
      <w:sz w:val="28"/>
      <w:szCs w:val="32"/>
    </w:rPr>
  </w:style>
  <w:style w:type="paragraph" w:styleId="lfej">
    <w:name w:val="header"/>
    <w:basedOn w:val="Norml"/>
    <w:link w:val="lfejChar"/>
    <w:uiPriority w:val="99"/>
    <w:unhideWhenUsed/>
    <w:rsid w:val="009E3612"/>
    <w:pPr>
      <w:tabs>
        <w:tab w:val="center" w:pos="4703"/>
        <w:tab w:val="right" w:pos="9406"/>
      </w:tabs>
      <w:spacing w:before="0"/>
    </w:pPr>
  </w:style>
  <w:style w:type="character" w:customStyle="1" w:styleId="lfejChar">
    <w:name w:val="Élőfej Char"/>
    <w:basedOn w:val="Bekezdsalapbettpusa"/>
    <w:link w:val="lfej"/>
    <w:uiPriority w:val="99"/>
    <w:rsid w:val="009E3612"/>
    <w:rPr>
      <w:rFonts w:ascii="Times New Roman" w:eastAsia="Times New Roman" w:hAnsi="Times New Roman" w:cs="Times New Roman"/>
      <w:sz w:val="24"/>
      <w:szCs w:val="24"/>
      <w:lang w:val="en-GB"/>
    </w:rPr>
  </w:style>
  <w:style w:type="paragraph" w:styleId="llb">
    <w:name w:val="footer"/>
    <w:basedOn w:val="Norml"/>
    <w:link w:val="llbChar"/>
    <w:uiPriority w:val="99"/>
    <w:unhideWhenUsed/>
    <w:rsid w:val="009E3612"/>
    <w:pPr>
      <w:tabs>
        <w:tab w:val="center" w:pos="4703"/>
        <w:tab w:val="right" w:pos="9406"/>
      </w:tabs>
      <w:spacing w:before="0"/>
    </w:pPr>
  </w:style>
  <w:style w:type="character" w:customStyle="1" w:styleId="llbChar">
    <w:name w:val="Élőláb Char"/>
    <w:basedOn w:val="Bekezdsalapbettpusa"/>
    <w:link w:val="llb"/>
    <w:uiPriority w:val="99"/>
    <w:rsid w:val="009E3612"/>
    <w:rPr>
      <w:rFonts w:ascii="Times New Roman" w:eastAsia="Times New Roman" w:hAnsi="Times New Roman" w:cs="Times New Roman"/>
      <w:sz w:val="24"/>
      <w:szCs w:val="24"/>
      <w:lang w:val="en-GB"/>
    </w:rPr>
  </w:style>
  <w:style w:type="paragraph" w:styleId="Buborkszveg">
    <w:name w:val="Balloon Text"/>
    <w:basedOn w:val="Norml"/>
    <w:link w:val="BuborkszvegChar"/>
    <w:uiPriority w:val="99"/>
    <w:semiHidden/>
    <w:unhideWhenUsed/>
    <w:rsid w:val="009E3612"/>
    <w:pPr>
      <w:spacing w:before="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E3612"/>
    <w:rPr>
      <w:rFonts w:ascii="Tahoma" w:eastAsia="Times New Roman" w:hAnsi="Tahoma" w:cs="Tahoma"/>
      <w:sz w:val="16"/>
      <w:szCs w:val="16"/>
      <w:lang w:val="en-GB"/>
    </w:rPr>
  </w:style>
  <w:style w:type="paragraph" w:styleId="Listaszerbekezds">
    <w:name w:val="List Paragraph"/>
    <w:basedOn w:val="Norml"/>
    <w:uiPriority w:val="34"/>
    <w:qFormat/>
    <w:rsid w:val="00F006F5"/>
    <w:pPr>
      <w:ind w:left="720"/>
      <w:contextualSpacing/>
    </w:pPr>
  </w:style>
  <w:style w:type="character" w:styleId="Hiperhivatkozs">
    <w:name w:val="Hyperlink"/>
    <w:basedOn w:val="Bekezdsalapbettpusa"/>
    <w:uiPriority w:val="99"/>
    <w:unhideWhenUsed/>
    <w:rsid w:val="00DE5E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0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2match.eu/aquamatch201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2match.eu/energydaysgraz201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1638</Words>
  <Characters>11304</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rcisd</dc:creator>
  <cp:lastModifiedBy>Dorogi Ildi</cp:lastModifiedBy>
  <cp:revision>2</cp:revision>
  <dcterms:created xsi:type="dcterms:W3CDTF">2015-10-15T08:13:00Z</dcterms:created>
  <dcterms:modified xsi:type="dcterms:W3CDTF">2015-10-15T08:13:00Z</dcterms:modified>
</cp:coreProperties>
</file>